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1A49" w14:textId="77777777" w:rsidR="00CD2042" w:rsidRPr="008B3580" w:rsidRDefault="00000000">
      <w:pPr>
        <w:keepNext/>
        <w:spacing w:after="100"/>
        <w:rPr>
          <w:rFonts w:ascii="細明體" w:eastAsia="細明體" w:hAnsi="細明體" w:cstheme="majorHAnsi"/>
          <w:b/>
        </w:rPr>
      </w:pPr>
      <w:r w:rsidRPr="008B3580">
        <w:rPr>
          <w:rFonts w:ascii="細明體" w:eastAsia="細明體" w:hAnsi="細明體" w:cstheme="majorHAnsi"/>
          <w:b/>
          <w:color w:val="0F6B78"/>
          <w:sz w:val="19"/>
          <w:lang w:val="zh-TW" w:eastAsia="zh-TW"/>
        </w:rPr>
        <w:t>INTERNAL RESEARCH BRIEF • 2026.07.25</w:t>
      </w:r>
    </w:p>
    <w:p w14:paraId="2DF55636" w14:textId="77777777" w:rsidR="00CD2042" w:rsidRPr="008B3580" w:rsidRDefault="00000000">
      <w:pPr>
        <w:keepNext/>
        <w:spacing w:before="480" w:after="40" w:line="240" w:lineRule="auto"/>
        <w:rPr>
          <w:rFonts w:ascii="細明體" w:eastAsia="細明體" w:hAnsi="細明體" w:cstheme="majorHAnsi"/>
          <w:b/>
        </w:rPr>
      </w:pPr>
      <w:r w:rsidRPr="008B3580">
        <w:rPr>
          <w:rFonts w:ascii="細明體" w:eastAsia="細明體" w:hAnsi="細明體" w:cs="新細明體" w:hint="eastAsia"/>
          <w:b/>
          <w:color w:val="183B62"/>
          <w:sz w:val="60"/>
          <w:lang w:val="zh-TW" w:eastAsia="zh-TW"/>
        </w:rPr>
        <w:t>仲恩生醫</w:t>
      </w:r>
      <w:r w:rsidRPr="008B3580">
        <w:rPr>
          <w:rFonts w:ascii="細明體" w:eastAsia="細明體" w:hAnsi="細明體" w:cstheme="majorHAnsi"/>
          <w:b/>
          <w:color w:val="183B62"/>
          <w:sz w:val="60"/>
          <w:lang w:val="zh-TW" w:eastAsia="zh-TW"/>
        </w:rPr>
        <w:t xml:space="preserve"> Stemchymal</w:t>
      </w:r>
    </w:p>
    <w:p w14:paraId="37F91A7A" w14:textId="77777777" w:rsidR="00CD2042" w:rsidRPr="008B3580" w:rsidRDefault="00000000">
      <w:pPr>
        <w:keepNext/>
        <w:spacing w:after="360" w:line="240" w:lineRule="auto"/>
        <w:rPr>
          <w:rFonts w:ascii="細明體" w:eastAsia="細明體" w:hAnsi="細明體" w:cstheme="majorHAnsi"/>
          <w:b/>
        </w:rPr>
      </w:pPr>
      <w:r w:rsidRPr="008B3580">
        <w:rPr>
          <w:rFonts w:ascii="細明體" w:eastAsia="細明體" w:hAnsi="細明體" w:cs="新細明體" w:hint="eastAsia"/>
          <w:b/>
          <w:color w:val="0F6B78"/>
          <w:sz w:val="44"/>
          <w:lang w:val="zh-TW" w:eastAsia="zh-TW"/>
        </w:rPr>
        <w:t>日本取證與國際臨床團隊重點整理</w:t>
      </w:r>
    </w:p>
    <w:p w14:paraId="6A799162" w14:textId="77777777" w:rsidR="00CD2042" w:rsidRPr="008B3580" w:rsidRDefault="00000000">
      <w:pPr>
        <w:spacing w:after="400"/>
        <w:rPr>
          <w:rFonts w:ascii="細明體" w:eastAsia="細明體" w:hAnsi="細明體" w:cstheme="majorHAnsi"/>
          <w:b/>
        </w:rPr>
      </w:pPr>
      <w:r w:rsidRPr="008B3580">
        <w:rPr>
          <w:rFonts w:ascii="細明體" w:eastAsia="細明體" w:hAnsi="細明體" w:cs="新細明體" w:hint="eastAsia"/>
          <w:b/>
          <w:color w:val="667085"/>
          <w:sz w:val="25"/>
          <w:lang w:val="zh-TW" w:eastAsia="zh-TW"/>
        </w:rPr>
        <w:t>日本再生醫療制度</w:t>
      </w:r>
      <w:r w:rsidRPr="008B3580">
        <w:rPr>
          <w:rFonts w:ascii="細明體" w:eastAsia="細明體" w:hAnsi="細明體" w:cstheme="majorHAnsi"/>
          <w:b/>
          <w:color w:val="667085"/>
          <w:sz w:val="25"/>
          <w:lang w:val="zh-TW" w:eastAsia="zh-TW"/>
        </w:rPr>
        <w:t xml:space="preserve"> × SARA </w:t>
      </w:r>
      <w:r w:rsidRPr="008B3580">
        <w:rPr>
          <w:rFonts w:ascii="細明體" w:eastAsia="細明體" w:hAnsi="細明體" w:cs="新細明體" w:hint="eastAsia"/>
          <w:b/>
          <w:color w:val="667085"/>
          <w:sz w:val="25"/>
          <w:lang w:val="zh-TW" w:eastAsia="zh-TW"/>
        </w:rPr>
        <w:t>自然史證據</w:t>
      </w:r>
      <w:r w:rsidRPr="008B3580">
        <w:rPr>
          <w:rFonts w:ascii="細明體" w:eastAsia="細明體" w:hAnsi="細明體" w:cstheme="majorHAnsi"/>
          <w:b/>
          <w:color w:val="667085"/>
          <w:sz w:val="25"/>
          <w:lang w:val="zh-TW" w:eastAsia="zh-TW"/>
        </w:rPr>
        <w:t xml:space="preserve"> × </w:t>
      </w:r>
      <w:r w:rsidRPr="008B3580">
        <w:rPr>
          <w:rFonts w:ascii="細明體" w:eastAsia="細明體" w:hAnsi="細明體" w:cs="新細明體" w:hint="eastAsia"/>
          <w:b/>
          <w:color w:val="667085"/>
          <w:sz w:val="25"/>
          <w:lang w:val="zh-TW" w:eastAsia="zh-TW"/>
        </w:rPr>
        <w:t>國際細胞治療與罕病權威</w:t>
      </w:r>
    </w:p>
    <w:p w14:paraId="54CB5F5A" w14:textId="77777777" w:rsidR="00CD2042" w:rsidRPr="008B3580" w:rsidRDefault="00000000">
      <w:pPr>
        <w:keepLines/>
        <w:pBdr>
          <w:left w:val="single" w:sz="20" w:space="10" w:color="0F6B78"/>
        </w:pBdr>
        <w:shd w:val="clear" w:color="auto" w:fill="E8F4F4"/>
        <w:spacing w:before="80" w:after="200"/>
        <w:ind w:left="173" w:right="173"/>
        <w:rPr>
          <w:rFonts w:ascii="細明體" w:eastAsia="細明體" w:hAnsi="細明體" w:cstheme="majorHAnsi"/>
          <w:b/>
          <w:lang w:eastAsia="zh-TW"/>
        </w:rPr>
      </w:pPr>
      <w:r w:rsidRPr="008B3580">
        <w:rPr>
          <w:rFonts w:ascii="細明體" w:eastAsia="細明體" w:hAnsi="細明體" w:cs="新細明體" w:hint="eastAsia"/>
          <w:b/>
          <w:color w:val="0F6B78"/>
          <w:lang w:val="zh-TW" w:eastAsia="zh-TW"/>
        </w:rPr>
        <w:t xml:space="preserve">核心結論　</w:t>
      </w:r>
      <w:r w:rsidRPr="008B3580">
        <w:rPr>
          <w:rFonts w:ascii="細明體" w:eastAsia="細明體" w:hAnsi="細明體" w:cstheme="majorHAnsi"/>
          <w:b/>
          <w:lang w:val="zh-TW" w:eastAsia="zh-TW"/>
        </w:rPr>
        <w:t>兩份厚生勞動省指引，正面涵蓋「完成試驗後的次族群探索、自然史／RWD比較、罕見進行性疾病，以及人類MSC產品的條件及期限付承認」。勝野雅央、Susan Perlman、Theresa Zesiewicz與Kurt Gunter，則分別補齊日本臨床、SARA自然史、美國收案與FDA細胞治療法規能力。</w:t>
      </w:r>
    </w:p>
    <w:p w14:paraId="1915D81D" w14:textId="77777777" w:rsidR="00CD2042" w:rsidRPr="008B3580" w:rsidRDefault="00000000">
      <w:pPr>
        <w:pStyle w:val="2"/>
        <w:rPr>
          <w:rFonts w:ascii="細明體" w:eastAsia="細明體" w:hAnsi="細明體" w:cstheme="majorHAnsi"/>
          <w:bCs w:val="0"/>
        </w:rPr>
      </w:pPr>
      <w:r w:rsidRPr="008B3580">
        <w:rPr>
          <w:rFonts w:ascii="細明體" w:eastAsia="細明體" w:hAnsi="細明體" w:cs="新細明體" w:hint="eastAsia"/>
          <w:bCs w:val="0"/>
          <w:lang w:val="zh-TW" w:eastAsia="zh-TW"/>
        </w:rPr>
        <w:t>一頁判斷</w:t>
      </w:r>
    </w:p>
    <w:p w14:paraId="761090E5"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日本法規面：</w:t>
      </w:r>
      <w:r w:rsidRPr="008B3580">
        <w:rPr>
          <w:rFonts w:ascii="細明體" w:eastAsia="細明體" w:hAnsi="細明體" w:cstheme="majorHAnsi"/>
          <w:b/>
          <w:lang w:val="zh-TW" w:eastAsia="zh-TW"/>
        </w:rPr>
        <w:t>Stemchymal最受關注的post hoc與MSC異質性，均已被日本官方指引轉化為可審查、可驗證、可透過上市後資料管理的制度問題。</w:t>
      </w:r>
    </w:p>
    <w:p w14:paraId="7493A284"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證據連續性：</w:t>
      </w:r>
      <w:r w:rsidRPr="008B3580">
        <w:rPr>
          <w:rFonts w:ascii="細明體" w:eastAsia="細明體" w:hAnsi="細明體" w:cstheme="majorHAnsi"/>
          <w:b/>
          <w:lang w:val="zh-TW" w:eastAsia="zh-TW"/>
        </w:rPr>
        <w:t>日本SARA</w:t>
      </w:r>
      <w:r w:rsidRPr="008B3580">
        <w:rPr>
          <w:rFonts w:ascii="Cambria Math" w:eastAsia="細明體" w:hAnsi="Cambria Math" w:cs="Cambria Math"/>
          <w:b/>
          <w:lang w:val="zh-TW" w:eastAsia="zh-TW"/>
        </w:rPr>
        <w:t>≥</w:t>
      </w:r>
      <w:r w:rsidRPr="008B3580">
        <w:rPr>
          <w:rFonts w:ascii="細明體" w:eastAsia="細明體" w:hAnsi="細明體" w:cstheme="majorHAnsi"/>
          <w:b/>
          <w:lang w:val="zh-TW" w:eastAsia="zh-TW"/>
        </w:rPr>
        <w:t>11的論述，直接連結到Perlman與Zesiewicz參與的美國SCA自然史研究；同一套SARA與自然史框架也將延伸至美國二期。</w:t>
      </w:r>
    </w:p>
    <w:p w14:paraId="5ECE8F92"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人物配置：</w:t>
      </w:r>
      <w:r w:rsidRPr="008B3580">
        <w:rPr>
          <w:rFonts w:ascii="細明體" w:eastAsia="細明體" w:hAnsi="細明體" w:cstheme="majorHAnsi"/>
          <w:b/>
          <w:lang w:val="zh-TW" w:eastAsia="zh-TW"/>
        </w:rPr>
        <w:t>日本有勝野雅央，美國有Perlman／Zesiewicz，法規端有前FDA細胞治療主管Gunter，形成互補且完整的跨國開發團隊。</w:t>
      </w:r>
    </w:p>
    <w:p w14:paraId="3566CA5A" w14:textId="77777777" w:rsidR="00CD2042" w:rsidRPr="008B3580" w:rsidRDefault="00000000">
      <w:pPr>
        <w:keepLines/>
        <w:pBdr>
          <w:left w:val="single" w:sz="20" w:space="10" w:color="C98700"/>
        </w:pBdr>
        <w:shd w:val="clear" w:color="auto" w:fill="FFF4D6"/>
        <w:spacing w:before="80" w:after="200"/>
        <w:ind w:left="173" w:right="173"/>
        <w:rPr>
          <w:rFonts w:ascii="細明體" w:eastAsia="細明體" w:hAnsi="細明體" w:cstheme="majorHAnsi"/>
          <w:b/>
          <w:lang w:eastAsia="zh-TW"/>
        </w:rPr>
      </w:pPr>
      <w:r w:rsidRPr="008B3580">
        <w:rPr>
          <w:rFonts w:ascii="細明體" w:eastAsia="細明體" w:hAnsi="細明體" w:cs="新細明體" w:hint="eastAsia"/>
          <w:b/>
          <w:color w:val="C98700"/>
          <w:lang w:val="zh-TW" w:eastAsia="zh-TW"/>
        </w:rPr>
        <w:t xml:space="preserve">綜合判斷　</w:t>
      </w:r>
      <w:r w:rsidRPr="008B3580">
        <w:rPr>
          <w:rFonts w:ascii="細明體" w:eastAsia="細明體" w:hAnsi="細明體" w:cstheme="majorHAnsi"/>
          <w:b/>
          <w:lang w:val="zh-TW" w:eastAsia="zh-TW"/>
        </w:rPr>
        <w:t>日本取得條件及期限付承認維持約80%上下的高機率區間；這批權威人物的參與，對後續取證、確認性資料、收案與國際授權均有實質加分。</w:t>
      </w:r>
    </w:p>
    <w:p w14:paraId="436DB144" w14:textId="77777777" w:rsidR="00CD2042" w:rsidRPr="008B3580" w:rsidRDefault="00000000">
      <w:pPr>
        <w:keepNext/>
        <w:pageBreakBefore/>
        <w:spacing w:after="100"/>
        <w:rPr>
          <w:rFonts w:ascii="細明體" w:eastAsia="細明體" w:hAnsi="細明體" w:cstheme="majorHAnsi"/>
          <w:b/>
        </w:rPr>
      </w:pPr>
      <w:r w:rsidRPr="008B3580">
        <w:rPr>
          <w:rFonts w:ascii="細明體" w:eastAsia="細明體" w:hAnsi="細明體" w:cstheme="majorHAnsi"/>
          <w:b/>
          <w:color w:val="0F6B78"/>
          <w:sz w:val="19"/>
          <w:lang w:eastAsia="zh-TW"/>
        </w:rPr>
        <w:lastRenderedPageBreak/>
        <w:t>01 • JAPAN REGULATORY PATH</w:t>
      </w:r>
    </w:p>
    <w:p w14:paraId="62365DFC" w14:textId="77777777" w:rsidR="00CD2042" w:rsidRPr="008B3580" w:rsidRDefault="00000000">
      <w:pPr>
        <w:pStyle w:val="1"/>
        <w:rPr>
          <w:rFonts w:ascii="細明體" w:eastAsia="細明體" w:hAnsi="細明體" w:cstheme="majorHAnsi"/>
          <w:bCs w:val="0"/>
        </w:rPr>
      </w:pPr>
      <w:r w:rsidRPr="008B3580">
        <w:rPr>
          <w:rFonts w:ascii="細明體" w:eastAsia="細明體" w:hAnsi="細明體" w:cs="新細明體" w:hint="eastAsia"/>
          <w:bCs w:val="0"/>
          <w:lang w:val="zh-TW" w:eastAsia="zh-TW"/>
        </w:rPr>
        <w:t>兩份日本再生醫療指引</w:t>
      </w:r>
      <w:r w:rsidRPr="008B3580">
        <w:rPr>
          <w:rFonts w:ascii="細明體" w:eastAsia="細明體" w:hAnsi="細明體" w:cs="新細明體" w:hint="eastAsia"/>
          <w:bCs w:val="0"/>
          <w:lang w:eastAsia="zh-TW"/>
        </w:rPr>
        <w:t>，</w:t>
      </w:r>
      <w:r w:rsidRPr="008B3580">
        <w:rPr>
          <w:rFonts w:ascii="細明體" w:eastAsia="細明體" w:hAnsi="細明體" w:cs="新細明體" w:hint="eastAsia"/>
          <w:bCs w:val="0"/>
          <w:lang w:val="zh-TW" w:eastAsia="zh-TW"/>
        </w:rPr>
        <w:t>如何直接支撐</w:t>
      </w:r>
      <w:r w:rsidRPr="008B3580">
        <w:rPr>
          <w:rFonts w:ascii="細明體" w:eastAsia="細明體" w:hAnsi="細明體" w:cstheme="majorHAnsi"/>
          <w:bCs w:val="0"/>
          <w:lang w:eastAsia="zh-TW"/>
        </w:rPr>
        <w:t xml:space="preserve"> </w:t>
      </w:r>
      <w:proofErr w:type="spellStart"/>
      <w:r w:rsidRPr="008B3580">
        <w:rPr>
          <w:rFonts w:ascii="細明體" w:eastAsia="細明體" w:hAnsi="細明體" w:cstheme="majorHAnsi"/>
          <w:bCs w:val="0"/>
          <w:lang w:eastAsia="zh-TW"/>
        </w:rPr>
        <w:t>Stemchymal</w:t>
      </w:r>
      <w:proofErr w:type="spellEnd"/>
    </w:p>
    <w:p w14:paraId="5AC0760B" w14:textId="77777777" w:rsidR="00CD2042" w:rsidRPr="008B3580" w:rsidRDefault="00000000">
      <w:pPr>
        <w:rPr>
          <w:rFonts w:ascii="細明體" w:eastAsia="細明體" w:hAnsi="細明體" w:cstheme="majorHAnsi"/>
          <w:b/>
        </w:rPr>
      </w:pPr>
      <w:r w:rsidRPr="008B3580">
        <w:rPr>
          <w:rFonts w:ascii="細明體" w:eastAsia="細明體" w:hAnsi="細明體" w:cstheme="majorHAnsi"/>
          <w:b/>
          <w:lang w:val="zh-TW" w:eastAsia="zh-TW"/>
        </w:rPr>
        <w:t>兩份文件均由日本厚生勞動省於</w:t>
      </w:r>
      <w:r w:rsidRPr="008B3580">
        <w:rPr>
          <w:rFonts w:ascii="細明體" w:eastAsia="細明體" w:hAnsi="細明體" w:cstheme="majorHAnsi"/>
          <w:b/>
          <w:lang w:eastAsia="zh-TW"/>
        </w:rPr>
        <w:t>2024</w:t>
      </w:r>
      <w:r w:rsidRPr="008B3580">
        <w:rPr>
          <w:rFonts w:ascii="細明體" w:eastAsia="細明體" w:hAnsi="細明體" w:cstheme="majorHAnsi"/>
          <w:b/>
          <w:lang w:val="zh-TW" w:eastAsia="zh-TW"/>
        </w:rPr>
        <w:t>年</w:t>
      </w:r>
      <w:r w:rsidRPr="008B3580">
        <w:rPr>
          <w:rFonts w:ascii="細明體" w:eastAsia="細明體" w:hAnsi="細明體" w:cstheme="majorHAnsi"/>
          <w:b/>
          <w:lang w:eastAsia="zh-TW"/>
        </w:rPr>
        <w:t>3</w:t>
      </w:r>
      <w:r w:rsidRPr="008B3580">
        <w:rPr>
          <w:rFonts w:ascii="細明體" w:eastAsia="細明體" w:hAnsi="細明體" w:cstheme="majorHAnsi"/>
          <w:b/>
          <w:lang w:val="zh-TW" w:eastAsia="zh-TW"/>
        </w:rPr>
        <w:t>月</w:t>
      </w:r>
      <w:r w:rsidRPr="008B3580">
        <w:rPr>
          <w:rFonts w:ascii="細明體" w:eastAsia="細明體" w:hAnsi="細明體" w:cstheme="majorHAnsi"/>
          <w:b/>
          <w:lang w:eastAsia="zh-TW"/>
        </w:rPr>
        <w:t>29</w:t>
      </w:r>
      <w:r w:rsidRPr="008B3580">
        <w:rPr>
          <w:rFonts w:ascii="細明體" w:eastAsia="細明體" w:hAnsi="細明體" w:cstheme="majorHAnsi"/>
          <w:b/>
          <w:lang w:val="zh-TW" w:eastAsia="zh-TW"/>
        </w:rPr>
        <w:t>日發布</w:t>
      </w:r>
      <w:r w:rsidRPr="008B3580">
        <w:rPr>
          <w:rFonts w:ascii="細明體" w:eastAsia="細明體" w:hAnsi="細明體" w:cstheme="majorHAnsi"/>
          <w:b/>
          <w:lang w:eastAsia="zh-TW"/>
        </w:rPr>
        <w:t>：</w:t>
      </w:r>
      <w:r w:rsidRPr="008B3580">
        <w:rPr>
          <w:rFonts w:ascii="細明體" w:eastAsia="細明體" w:hAnsi="細明體" w:cstheme="majorHAnsi"/>
          <w:b/>
          <w:lang w:val="zh-TW" w:eastAsia="zh-TW"/>
        </w:rPr>
        <w:t>第一份定義條件及期限付承認邏輯</w:t>
      </w:r>
      <w:r w:rsidRPr="008B3580">
        <w:rPr>
          <w:rFonts w:ascii="細明體" w:eastAsia="細明體" w:hAnsi="細明體" w:cstheme="majorHAnsi"/>
          <w:b/>
          <w:lang w:eastAsia="zh-TW"/>
        </w:rPr>
        <w:t>，</w:t>
      </w:r>
      <w:r w:rsidRPr="008B3580">
        <w:rPr>
          <w:rFonts w:ascii="細明體" w:eastAsia="細明體" w:hAnsi="細明體" w:cstheme="majorHAnsi"/>
          <w:b/>
          <w:lang w:val="zh-TW" w:eastAsia="zh-TW"/>
        </w:rPr>
        <w:t>第二份專門處理人類間葉系幹細胞</w:t>
      </w:r>
      <w:r w:rsidRPr="008B3580">
        <w:rPr>
          <w:rFonts w:ascii="細明體" w:eastAsia="細明體" w:hAnsi="細明體" w:cstheme="majorHAnsi"/>
          <w:b/>
          <w:lang w:eastAsia="zh-TW"/>
        </w:rPr>
        <w:t>／</w:t>
      </w:r>
      <w:r w:rsidRPr="008B3580">
        <w:rPr>
          <w:rFonts w:ascii="細明體" w:eastAsia="細明體" w:hAnsi="細明體" w:cstheme="majorHAnsi"/>
          <w:b/>
          <w:lang w:val="zh-TW" w:eastAsia="zh-TW"/>
        </w:rPr>
        <w:t>間質細胞</w:t>
      </w:r>
      <w:r w:rsidRPr="008B3580">
        <w:rPr>
          <w:rFonts w:ascii="細明體" w:eastAsia="細明體" w:hAnsi="細明體" w:cstheme="majorHAnsi"/>
          <w:b/>
          <w:lang w:eastAsia="zh-TW"/>
        </w:rPr>
        <w:t>（MSC）</w:t>
      </w:r>
      <w:r w:rsidRPr="008B3580">
        <w:rPr>
          <w:rFonts w:ascii="細明體" w:eastAsia="細明體" w:hAnsi="細明體" w:cstheme="majorHAnsi"/>
          <w:b/>
          <w:lang w:val="zh-TW" w:eastAsia="zh-TW"/>
        </w:rPr>
        <w:t>產品</w:t>
      </w:r>
      <w:r w:rsidRPr="008B3580">
        <w:rPr>
          <w:rFonts w:ascii="細明體" w:eastAsia="細明體" w:hAnsi="細明體" w:cstheme="majorHAnsi"/>
          <w:b/>
          <w:lang w:eastAsia="zh-TW"/>
        </w:rPr>
        <w:t>；</w:t>
      </w:r>
      <w:proofErr w:type="spellStart"/>
      <w:r w:rsidRPr="008B3580">
        <w:rPr>
          <w:rFonts w:ascii="細明體" w:eastAsia="細明體" w:hAnsi="細明體" w:cstheme="majorHAnsi"/>
          <w:b/>
          <w:lang w:eastAsia="zh-TW"/>
        </w:rPr>
        <w:t>Stemchymal</w:t>
      </w:r>
      <w:proofErr w:type="spellEnd"/>
      <w:r w:rsidRPr="008B3580">
        <w:rPr>
          <w:rFonts w:ascii="細明體" w:eastAsia="細明體" w:hAnsi="細明體" w:cstheme="majorHAnsi"/>
          <w:b/>
          <w:lang w:val="zh-TW" w:eastAsia="zh-TW"/>
        </w:rPr>
        <w:t>正好位於兩者交集。</w:t>
      </w:r>
    </w:p>
    <w:p w14:paraId="247D7A9C" w14:textId="77777777" w:rsidR="00CD2042" w:rsidRPr="008B3580" w:rsidRDefault="00000000">
      <w:pPr>
        <w:pStyle w:val="2"/>
        <w:rPr>
          <w:rFonts w:ascii="細明體" w:eastAsia="細明體" w:hAnsi="細明體" w:cstheme="majorHAnsi"/>
          <w:bCs w:val="0"/>
          <w:lang w:eastAsia="zh-TW"/>
        </w:rPr>
      </w:pPr>
      <w:r w:rsidRPr="008B3580">
        <w:rPr>
          <w:rFonts w:ascii="細明體" w:eastAsia="細明體" w:hAnsi="細明體" w:cs="新細明體" w:hint="eastAsia"/>
          <w:bCs w:val="0"/>
          <w:lang w:val="zh-TW" w:eastAsia="zh-TW"/>
        </w:rPr>
        <w:t>指引一｜條件及期限付承認與後續有效性評估</w:t>
      </w:r>
    </w:p>
    <w:p w14:paraId="7CD57AC0"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明文納入</w:t>
      </w:r>
      <w:r w:rsidRPr="008B3580">
        <w:rPr>
          <w:rFonts w:ascii="細明體" w:eastAsia="細明體" w:hAnsi="細明體" w:cstheme="majorHAnsi"/>
          <w:b/>
          <w:color w:val="183B62"/>
          <w:lang w:val="zh-TW" w:eastAsia="zh-TW"/>
        </w:rPr>
        <w:t>post hoc</w:t>
      </w:r>
      <w:r w:rsidRPr="008B3580">
        <w:rPr>
          <w:rFonts w:ascii="細明體" w:eastAsia="細明體" w:hAnsi="細明體" w:cs="新細明體" w:hint="eastAsia"/>
          <w:b/>
          <w:color w:val="183B62"/>
          <w:lang w:val="zh-TW" w:eastAsia="zh-TW"/>
        </w:rPr>
        <w:t>：</w:t>
      </w:r>
      <w:r w:rsidRPr="008B3580">
        <w:rPr>
          <w:rFonts w:ascii="細明體" w:eastAsia="細明體" w:hAnsi="細明體" w:cstheme="majorHAnsi"/>
          <w:b/>
          <w:lang w:val="zh-TW" w:eastAsia="zh-TW"/>
        </w:rPr>
        <w:t>對已完成試驗事後探索「是否可推定有效」時，主管機關會綜合疾病罕見性、重症程度及缺乏有效治療等條件。</w:t>
      </w:r>
    </w:p>
    <w:p w14:paraId="24D30DEA"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接受自然史與</w:t>
      </w:r>
      <w:r w:rsidRPr="008B3580">
        <w:rPr>
          <w:rFonts w:ascii="細明體" w:eastAsia="細明體" w:hAnsi="細明體" w:cstheme="majorHAnsi"/>
          <w:b/>
          <w:color w:val="183B62"/>
          <w:lang w:val="zh-TW" w:eastAsia="zh-TW"/>
        </w:rPr>
        <w:t>RWD</w:t>
      </w:r>
      <w:r w:rsidRPr="008B3580">
        <w:rPr>
          <w:rFonts w:ascii="細明體" w:eastAsia="細明體" w:hAnsi="細明體" w:cs="新細明體" w:hint="eastAsia"/>
          <w:b/>
          <w:color w:val="183B62"/>
          <w:lang w:val="zh-TW" w:eastAsia="zh-TW"/>
        </w:rPr>
        <w:t>：</w:t>
      </w:r>
      <w:r w:rsidRPr="008B3580">
        <w:rPr>
          <w:rFonts w:ascii="細明體" w:eastAsia="細明體" w:hAnsi="細明體" w:cstheme="majorHAnsi"/>
          <w:b/>
          <w:lang w:val="zh-TW" w:eastAsia="zh-TW"/>
        </w:rPr>
        <w:t>若排除復健等偏差後，與文獻或真實世界自然史比較，且治療組的一部分病人出現具臨床意義的訊號，即具有與主管機關討論的空間。</w:t>
      </w:r>
    </w:p>
    <w:p w14:paraId="4FC98EB7"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特別適合進行性、不可逆疾病：</w:t>
      </w:r>
      <w:r w:rsidRPr="008B3580">
        <w:rPr>
          <w:rFonts w:ascii="細明體" w:eastAsia="細明體" w:hAnsi="細明體" w:cstheme="majorHAnsi"/>
          <w:b/>
          <w:lang w:val="zh-TW" w:eastAsia="zh-TW"/>
        </w:rPr>
        <w:t>指引直接列出，當疾病持續惡化且治療組部分病人出現臨床意義訊號，可作為推定有效性的案例。</w:t>
      </w:r>
    </w:p>
    <w:p w14:paraId="0274F1FA" w14:textId="77777777" w:rsidR="00CD2042" w:rsidRPr="008B3580" w:rsidRDefault="00000000">
      <w:pPr>
        <w:keepLines/>
        <w:pBdr>
          <w:left w:val="single" w:sz="20" w:space="10" w:color="2E74B5"/>
        </w:pBdr>
        <w:shd w:val="clear" w:color="auto" w:fill="EAF2F8"/>
        <w:spacing w:before="80" w:after="200"/>
        <w:ind w:left="173" w:right="173"/>
        <w:rPr>
          <w:rFonts w:ascii="細明體" w:eastAsia="細明體" w:hAnsi="細明體" w:cstheme="majorHAnsi"/>
          <w:b/>
          <w:lang w:eastAsia="zh-TW"/>
        </w:rPr>
      </w:pPr>
      <w:r w:rsidRPr="008B3580">
        <w:rPr>
          <w:rFonts w:ascii="細明體" w:eastAsia="細明體" w:hAnsi="細明體" w:cs="新細明體" w:hint="eastAsia"/>
          <w:b/>
          <w:color w:val="2E74B5"/>
          <w:lang w:val="zh-TW" w:eastAsia="zh-TW"/>
        </w:rPr>
        <w:t xml:space="preserve">對仲恩的直接影響　</w:t>
      </w:r>
      <w:r w:rsidRPr="008B3580">
        <w:rPr>
          <w:rFonts w:ascii="細明體" w:eastAsia="細明體" w:hAnsi="細明體" w:cstheme="majorHAnsi"/>
          <w:b/>
          <w:lang w:val="zh-TW" w:eastAsia="zh-TW"/>
        </w:rPr>
        <w:t>SCA3／SCA6屬罕見、進行性、不可逆且缺乏疾病修飾治療；日本與台灣皆有隨機、雙盲、安慰劑對照二期資料，且高基線族群呈現方向一致訊號。因此，SARA</w:t>
      </w:r>
      <w:r w:rsidRPr="008B3580">
        <w:rPr>
          <w:rFonts w:ascii="Cambria Math" w:eastAsia="細明體" w:hAnsi="Cambria Math" w:cs="Cambria Math"/>
          <w:b/>
          <w:lang w:val="zh-TW" w:eastAsia="zh-TW"/>
        </w:rPr>
        <w:t>≥</w:t>
      </w:r>
      <w:r w:rsidRPr="008B3580">
        <w:rPr>
          <w:rFonts w:ascii="細明體" w:eastAsia="細明體" w:hAnsi="細明體" w:cstheme="majorHAnsi"/>
          <w:b/>
          <w:lang w:val="zh-TW" w:eastAsia="zh-TW"/>
        </w:rPr>
        <w:t>11並非任意切割，而是以安慰劑效應降低、自然病程更可辨識的族群，建立可被PMDA審查的目標治療族群。</w:t>
      </w:r>
    </w:p>
    <w:p w14:paraId="5B73C216" w14:textId="77777777" w:rsidR="00CD2042" w:rsidRPr="008B3580" w:rsidRDefault="00000000">
      <w:pPr>
        <w:pStyle w:val="2"/>
        <w:rPr>
          <w:rFonts w:ascii="細明體" w:eastAsia="細明體" w:hAnsi="細明體" w:cstheme="majorHAnsi"/>
          <w:bCs w:val="0"/>
          <w:lang w:eastAsia="zh-TW"/>
        </w:rPr>
      </w:pPr>
      <w:r w:rsidRPr="008B3580">
        <w:rPr>
          <w:rFonts w:ascii="細明體" w:eastAsia="細明體" w:hAnsi="細明體" w:cs="新細明體" w:hint="eastAsia"/>
          <w:bCs w:val="0"/>
          <w:lang w:val="zh-TW" w:eastAsia="zh-TW"/>
        </w:rPr>
        <w:t>指引二｜人類</w:t>
      </w:r>
      <w:r w:rsidRPr="008B3580">
        <w:rPr>
          <w:rFonts w:ascii="細明體" w:eastAsia="細明體" w:hAnsi="細明體" w:cstheme="majorHAnsi"/>
          <w:bCs w:val="0"/>
          <w:lang w:val="zh-TW" w:eastAsia="zh-TW"/>
        </w:rPr>
        <w:t xml:space="preserve"> MSC </w:t>
      </w:r>
      <w:r w:rsidRPr="008B3580">
        <w:rPr>
          <w:rFonts w:ascii="細明體" w:eastAsia="細明體" w:hAnsi="細明體" w:cs="新細明體" w:hint="eastAsia"/>
          <w:bCs w:val="0"/>
          <w:lang w:val="zh-TW" w:eastAsia="zh-TW"/>
        </w:rPr>
        <w:t>產品專屬評價指標</w:t>
      </w:r>
    </w:p>
    <w:p w14:paraId="02E99DAA"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直接適用</w:t>
      </w:r>
      <w:r w:rsidRPr="008B3580">
        <w:rPr>
          <w:rFonts w:ascii="細明體" w:eastAsia="細明體" w:hAnsi="細明體" w:cstheme="majorHAnsi"/>
          <w:b/>
          <w:color w:val="183B62"/>
          <w:lang w:val="zh-TW" w:eastAsia="zh-TW"/>
        </w:rPr>
        <w:t>Stemchymal</w:t>
      </w:r>
      <w:r w:rsidRPr="008B3580">
        <w:rPr>
          <w:rFonts w:ascii="細明體" w:eastAsia="細明體" w:hAnsi="細明體" w:cs="新細明體" w:hint="eastAsia"/>
          <w:b/>
          <w:color w:val="183B62"/>
          <w:lang w:val="zh-TW" w:eastAsia="zh-TW"/>
        </w:rPr>
        <w:t>：</w:t>
      </w:r>
      <w:r w:rsidRPr="008B3580">
        <w:rPr>
          <w:rFonts w:ascii="細明體" w:eastAsia="細明體" w:hAnsi="細明體" w:cstheme="majorHAnsi"/>
          <w:b/>
          <w:lang w:val="zh-TW" w:eastAsia="zh-TW"/>
        </w:rPr>
        <w:t>文件專門針對人類MSC加工產品，承認MSC具有異質性與多重作用機轉，並採產品與疾病特性逐案判斷證據。</w:t>
      </w:r>
    </w:p>
    <w:p w14:paraId="57523ACE"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審查重心自然落到</w:t>
      </w:r>
      <w:r w:rsidRPr="008B3580">
        <w:rPr>
          <w:rFonts w:ascii="細明體" w:eastAsia="細明體" w:hAnsi="細明體" w:cstheme="majorHAnsi"/>
          <w:b/>
          <w:color w:val="183B62"/>
          <w:lang w:val="zh-TW" w:eastAsia="zh-TW"/>
        </w:rPr>
        <w:t>CMC</w:t>
      </w:r>
      <w:r w:rsidRPr="008B3580">
        <w:rPr>
          <w:rFonts w:ascii="細明體" w:eastAsia="細明體" w:hAnsi="細明體" w:cs="新細明體" w:hint="eastAsia"/>
          <w:b/>
          <w:color w:val="183B62"/>
          <w:lang w:val="zh-TW" w:eastAsia="zh-TW"/>
        </w:rPr>
        <w:t>：</w:t>
      </w:r>
      <w:r w:rsidRPr="008B3580">
        <w:rPr>
          <w:rFonts w:ascii="細明體" w:eastAsia="細明體" w:hAnsi="細明體" w:cstheme="majorHAnsi"/>
          <w:b/>
          <w:lang w:val="zh-TW" w:eastAsia="zh-TW"/>
        </w:rPr>
        <w:t>效價、關鍵品質屬性、批次一致性、製程再現性、儲運與冷鏈，正是MSC指引要求被控制與持續驗證的核心。</w:t>
      </w:r>
    </w:p>
    <w:p w14:paraId="08A6C596" w14:textId="77777777" w:rsidR="00CD2042" w:rsidRPr="008B3580" w:rsidRDefault="00000000">
      <w:pPr>
        <w:keepLines/>
        <w:pBdr>
          <w:left w:val="single" w:sz="20" w:space="10" w:color="0F6B78"/>
        </w:pBdr>
        <w:shd w:val="clear" w:color="auto" w:fill="E8F4F4"/>
        <w:spacing w:before="80" w:after="200"/>
        <w:ind w:left="173" w:right="173"/>
        <w:rPr>
          <w:rFonts w:ascii="細明體" w:eastAsia="細明體" w:hAnsi="細明體" w:cstheme="majorHAnsi"/>
          <w:b/>
          <w:lang w:eastAsia="zh-TW"/>
        </w:rPr>
      </w:pPr>
      <w:r w:rsidRPr="008B3580">
        <w:rPr>
          <w:rFonts w:ascii="細明體" w:eastAsia="細明體" w:hAnsi="細明體" w:cs="新細明體" w:hint="eastAsia"/>
          <w:b/>
          <w:color w:val="0F6B78"/>
          <w:lang w:val="zh-TW" w:eastAsia="zh-TW"/>
        </w:rPr>
        <w:t xml:space="preserve">目前審查位置的意義　</w:t>
      </w:r>
      <w:r w:rsidRPr="008B3580">
        <w:rPr>
          <w:rFonts w:ascii="細明體" w:eastAsia="細明體" w:hAnsi="細明體" w:cstheme="majorHAnsi"/>
          <w:b/>
          <w:lang w:val="zh-TW" w:eastAsia="zh-TW"/>
        </w:rPr>
        <w:t>依管理層最新說明，PMDA已具體討論SARA</w:t>
      </w:r>
      <w:r w:rsidRPr="008B3580">
        <w:rPr>
          <w:rFonts w:ascii="Cambria Math" w:eastAsia="細明體" w:hAnsi="Cambria Math" w:cs="Cambria Math"/>
          <w:b/>
          <w:lang w:val="zh-TW" w:eastAsia="zh-TW"/>
        </w:rPr>
        <w:t>≥</w:t>
      </w:r>
      <w:r w:rsidRPr="008B3580">
        <w:rPr>
          <w:rFonts w:ascii="細明體" w:eastAsia="細明體" w:hAnsi="細明體" w:cstheme="majorHAnsi"/>
          <w:b/>
          <w:lang w:val="zh-TW" w:eastAsia="zh-TW"/>
        </w:rPr>
        <w:t>11、label與上市後RWD；現階段聚焦活性、批次一致性、冷鏈與製造再現性，正與MSC指引的CMC主軸一致。</w:t>
      </w:r>
    </w:p>
    <w:p w14:paraId="00F6C052" w14:textId="77777777" w:rsidR="00CD2042" w:rsidRPr="008B3580" w:rsidRDefault="00000000">
      <w:pPr>
        <w:keepNext/>
        <w:pageBreakBefore/>
        <w:spacing w:after="100"/>
        <w:rPr>
          <w:rFonts w:ascii="細明體" w:eastAsia="細明體" w:hAnsi="細明體" w:cstheme="majorHAnsi"/>
          <w:b/>
        </w:rPr>
      </w:pPr>
      <w:r w:rsidRPr="008B3580">
        <w:rPr>
          <w:rFonts w:ascii="細明體" w:eastAsia="細明體" w:hAnsi="細明體" w:cstheme="majorHAnsi"/>
          <w:b/>
          <w:color w:val="0F6B78"/>
          <w:sz w:val="19"/>
          <w:lang w:eastAsia="zh-TW"/>
        </w:rPr>
        <w:lastRenderedPageBreak/>
        <w:t>02 • JAPAN CLINICAL AUTHORITY</w:t>
      </w:r>
    </w:p>
    <w:p w14:paraId="153CBF71" w14:textId="77777777" w:rsidR="00CD2042" w:rsidRPr="008B3580" w:rsidRDefault="00000000">
      <w:pPr>
        <w:pStyle w:val="1"/>
        <w:rPr>
          <w:rFonts w:ascii="細明體" w:eastAsia="細明體" w:hAnsi="細明體" w:cstheme="majorHAnsi"/>
          <w:bCs w:val="0"/>
        </w:rPr>
      </w:pPr>
      <w:r w:rsidRPr="008B3580">
        <w:rPr>
          <w:rFonts w:ascii="細明體" w:eastAsia="細明體" w:hAnsi="細明體" w:cs="新細明體" w:hint="eastAsia"/>
          <w:bCs w:val="0"/>
          <w:lang w:val="zh-TW" w:eastAsia="zh-TW"/>
        </w:rPr>
        <w:t>勝野雅央</w:t>
      </w:r>
      <w:r w:rsidRPr="008B3580">
        <w:rPr>
          <w:rFonts w:ascii="細明體" w:eastAsia="細明體" w:hAnsi="細明體" w:cs="新細明體" w:hint="eastAsia"/>
          <w:bCs w:val="0"/>
          <w:lang w:eastAsia="zh-TW"/>
        </w:rPr>
        <w:t>：</w:t>
      </w:r>
      <w:r w:rsidRPr="008B3580">
        <w:rPr>
          <w:rFonts w:ascii="細明體" w:eastAsia="細明體" w:hAnsi="細明體" w:cs="新細明體" w:hint="eastAsia"/>
          <w:bCs w:val="0"/>
          <w:lang w:val="zh-TW" w:eastAsia="zh-TW"/>
        </w:rPr>
        <w:t>日本取證端最關鍵的神經罕病臨床權威</w:t>
      </w:r>
    </w:p>
    <w:p w14:paraId="568907A0" w14:textId="77777777" w:rsidR="00CD2042" w:rsidRPr="008B3580" w:rsidRDefault="00000000">
      <w:pPr>
        <w:rPr>
          <w:rFonts w:ascii="細明體" w:eastAsia="細明體" w:hAnsi="細明體" w:cstheme="majorHAnsi"/>
          <w:b/>
          <w:lang w:eastAsia="zh-TW"/>
        </w:rPr>
      </w:pPr>
      <w:r w:rsidRPr="008B3580">
        <w:rPr>
          <w:rFonts w:ascii="細明體" w:eastAsia="細明體" w:hAnsi="細明體" w:cstheme="majorHAnsi"/>
          <w:b/>
          <w:lang w:val="zh-TW" w:eastAsia="zh-TW"/>
        </w:rPr>
        <w:t>勝野雅央（Masahisa Katsuno）為名古屋大學醫學系神經內科教授，長期專注於神經退化、遺傳性運動神經疾病與脊髓小腦共濟失調。名古屋大學亦是Stemchymal日本二期的重要執行中心。</w:t>
      </w:r>
    </w:p>
    <w:p w14:paraId="61F66598" w14:textId="77777777" w:rsidR="00CD2042" w:rsidRPr="008B3580" w:rsidRDefault="00000000">
      <w:pPr>
        <w:pStyle w:val="2"/>
        <w:rPr>
          <w:rFonts w:ascii="細明體" w:eastAsia="細明體" w:hAnsi="細明體" w:cstheme="majorHAnsi"/>
          <w:bCs w:val="0"/>
        </w:rPr>
      </w:pPr>
      <w:r w:rsidRPr="008B3580">
        <w:rPr>
          <w:rFonts w:ascii="細明體" w:eastAsia="細明體" w:hAnsi="細明體" w:cs="新細明體" w:hint="eastAsia"/>
          <w:bCs w:val="0"/>
          <w:lang w:val="zh-TW" w:eastAsia="zh-TW"/>
        </w:rPr>
        <w:t>權威性為何足夠強</w:t>
      </w:r>
    </w:p>
    <w:p w14:paraId="44A45FEB"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大型罕病試驗經驗：</w:t>
      </w:r>
      <w:r w:rsidRPr="008B3580">
        <w:rPr>
          <w:rFonts w:ascii="細明體" w:eastAsia="細明體" w:hAnsi="細明體" w:cstheme="majorHAnsi"/>
          <w:b/>
          <w:lang w:val="zh-TW" w:eastAsia="zh-TW"/>
        </w:rPr>
        <w:t>曾領導204名患者、14家醫院參與的SBMA隨機、雙盲、安慰劑對照試驗，是日本少數具跨院罕見神經疾病試驗整合能力的PI。</w:t>
      </w:r>
    </w:p>
    <w:p w14:paraId="7100A331"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具日本核准落地經驗：</w:t>
      </w:r>
      <w:r w:rsidRPr="008B3580">
        <w:rPr>
          <w:rFonts w:ascii="細明體" w:eastAsia="細明體" w:hAnsi="細明體" w:cstheme="majorHAnsi"/>
          <w:b/>
          <w:lang w:val="zh-TW" w:eastAsia="zh-TW"/>
        </w:rPr>
        <w:t>該開發路徑最終支持leuprorelin於2017年在日本取得「抑制SBMA進展」的適應症核准，證明他熟悉如何把慢性退化疾病的臨床訊號轉成日本可接受的治療價值。</w:t>
      </w:r>
    </w:p>
    <w:p w14:paraId="4081936D"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熟悉量表與族群分層：</w:t>
      </w:r>
      <w:r w:rsidRPr="008B3580">
        <w:rPr>
          <w:rFonts w:ascii="細明體" w:eastAsia="細明體" w:hAnsi="細明體" w:cstheme="majorHAnsi"/>
          <w:b/>
          <w:lang w:val="zh-TW" w:eastAsia="zh-TW"/>
        </w:rPr>
        <w:t>長期處理進展緩慢、異質性高、安慰劑效應明顯的神經罕病，對SARA高基線族群、自然史與臨床意義的詮釋特別有價值。</w:t>
      </w:r>
    </w:p>
    <w:p w14:paraId="4601838E" w14:textId="77777777" w:rsidR="00CD2042" w:rsidRPr="008B3580" w:rsidRDefault="00000000">
      <w:pPr>
        <w:pStyle w:val="2"/>
        <w:rPr>
          <w:rFonts w:ascii="細明體" w:eastAsia="細明體" w:hAnsi="細明體" w:cstheme="majorHAnsi"/>
          <w:bCs w:val="0"/>
          <w:lang w:eastAsia="zh-TW"/>
        </w:rPr>
      </w:pPr>
      <w:r w:rsidRPr="008B3580">
        <w:rPr>
          <w:rFonts w:ascii="細明體" w:eastAsia="細明體" w:hAnsi="細明體" w:cs="新細明體" w:hint="eastAsia"/>
          <w:bCs w:val="0"/>
          <w:lang w:val="zh-TW" w:eastAsia="zh-TW"/>
        </w:rPr>
        <w:t>對</w:t>
      </w:r>
      <w:r w:rsidRPr="008B3580">
        <w:rPr>
          <w:rFonts w:ascii="細明體" w:eastAsia="細明體" w:hAnsi="細明體" w:cstheme="majorHAnsi"/>
          <w:bCs w:val="0"/>
          <w:lang w:val="zh-TW" w:eastAsia="zh-TW"/>
        </w:rPr>
        <w:t xml:space="preserve"> Stemchymal </w:t>
      </w:r>
      <w:r w:rsidRPr="008B3580">
        <w:rPr>
          <w:rFonts w:ascii="細明體" w:eastAsia="細明體" w:hAnsi="細明體" w:cs="新細明體" w:hint="eastAsia"/>
          <w:bCs w:val="0"/>
          <w:lang w:val="zh-TW" w:eastAsia="zh-TW"/>
        </w:rPr>
        <w:t>日本取證的實質幫助</w:t>
      </w:r>
    </w:p>
    <w:p w14:paraId="4320B8F3"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把</w:t>
      </w:r>
      <w:r w:rsidRPr="008B3580">
        <w:rPr>
          <w:rFonts w:ascii="細明體" w:eastAsia="細明體" w:hAnsi="細明體" w:cstheme="majorHAnsi"/>
          <w:b/>
          <w:color w:val="183B62"/>
          <w:lang w:val="zh-TW" w:eastAsia="zh-TW"/>
        </w:rPr>
        <w:t>SARA</w:t>
      </w:r>
      <w:r w:rsidRPr="008B3580">
        <w:rPr>
          <w:rFonts w:ascii="Cambria Math" w:eastAsia="細明體" w:hAnsi="Cambria Math" w:cs="Cambria Math"/>
          <w:b/>
          <w:color w:val="183B62"/>
          <w:lang w:val="zh-TW" w:eastAsia="zh-TW"/>
        </w:rPr>
        <w:t>≥</w:t>
      </w:r>
      <w:r w:rsidRPr="008B3580">
        <w:rPr>
          <w:rFonts w:ascii="細明體" w:eastAsia="細明體" w:hAnsi="細明體" w:cstheme="majorHAnsi"/>
          <w:b/>
          <w:color w:val="183B62"/>
          <w:lang w:val="zh-TW" w:eastAsia="zh-TW"/>
        </w:rPr>
        <w:t>11</w:t>
      </w:r>
      <w:r w:rsidRPr="008B3580">
        <w:rPr>
          <w:rFonts w:ascii="細明體" w:eastAsia="細明體" w:hAnsi="細明體" w:cs="新細明體" w:hint="eastAsia"/>
          <w:b/>
          <w:color w:val="183B62"/>
          <w:lang w:val="zh-TW" w:eastAsia="zh-TW"/>
        </w:rPr>
        <w:t>轉化為日本臨床語言：</w:t>
      </w:r>
      <w:r w:rsidRPr="008B3580">
        <w:rPr>
          <w:rFonts w:ascii="細明體" w:eastAsia="細明體" w:hAnsi="細明體" w:cstheme="majorHAnsi"/>
          <w:b/>
          <w:lang w:val="zh-TW" w:eastAsia="zh-TW"/>
        </w:rPr>
        <w:t>協助說明為何較高基線族群的安慰劑效應較低、病程惡化更接近自然史，因而能更清楚辨識治療效果。</w:t>
      </w:r>
    </w:p>
    <w:p w14:paraId="59641E5D"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支撐上市後</w:t>
      </w:r>
      <w:r w:rsidRPr="008B3580">
        <w:rPr>
          <w:rFonts w:ascii="細明體" w:eastAsia="細明體" w:hAnsi="細明體" w:cstheme="majorHAnsi"/>
          <w:b/>
          <w:color w:val="183B62"/>
          <w:lang w:val="zh-TW" w:eastAsia="zh-TW"/>
        </w:rPr>
        <w:t>RWD</w:t>
      </w:r>
      <w:r w:rsidRPr="008B3580">
        <w:rPr>
          <w:rFonts w:ascii="細明體" w:eastAsia="細明體" w:hAnsi="細明體" w:cs="新細明體" w:hint="eastAsia"/>
          <w:b/>
          <w:color w:val="183B62"/>
          <w:lang w:val="zh-TW" w:eastAsia="zh-TW"/>
        </w:rPr>
        <w:t>與確認性評估：</w:t>
      </w:r>
      <w:r w:rsidRPr="008B3580">
        <w:rPr>
          <w:rFonts w:ascii="細明體" w:eastAsia="細明體" w:hAnsi="細明體" w:cstheme="majorHAnsi"/>
          <w:b/>
          <w:lang w:val="zh-TW" w:eastAsia="zh-TW"/>
        </w:rPr>
        <w:t>可協助設定合適收案族群、SARA評估標準、跨院一致性及臨床意義門檻，讓條件及期限付承認後的資料可直接延續。</w:t>
      </w:r>
    </w:p>
    <w:p w14:paraId="70EDB8B0"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提高日本醫療體系採用速度：</w:t>
      </w:r>
      <w:r w:rsidRPr="008B3580">
        <w:rPr>
          <w:rFonts w:ascii="細明體" w:eastAsia="細明體" w:hAnsi="細明體" w:cstheme="majorHAnsi"/>
          <w:b/>
          <w:lang w:val="zh-TW" w:eastAsia="zh-TW"/>
        </w:rPr>
        <w:t>日本頂尖神經科KOL參與，有助於治療中心教育、病人轉介與上市後真實世界資料累積。</w:t>
      </w:r>
    </w:p>
    <w:p w14:paraId="6AD32F25" w14:textId="77777777" w:rsidR="00CD2042" w:rsidRPr="008B3580" w:rsidRDefault="00000000">
      <w:pPr>
        <w:keepLines/>
        <w:pBdr>
          <w:left w:val="single" w:sz="20" w:space="10" w:color="C98700"/>
        </w:pBdr>
        <w:shd w:val="clear" w:color="auto" w:fill="FFF4D6"/>
        <w:spacing w:before="80" w:after="200"/>
        <w:ind w:left="173" w:right="173"/>
        <w:rPr>
          <w:rFonts w:ascii="細明體" w:eastAsia="細明體" w:hAnsi="細明體" w:cstheme="majorHAnsi"/>
          <w:b/>
          <w:lang w:eastAsia="zh-TW"/>
        </w:rPr>
      </w:pPr>
      <w:r w:rsidRPr="008B3580">
        <w:rPr>
          <w:rFonts w:ascii="細明體" w:eastAsia="細明體" w:hAnsi="細明體" w:cs="新細明體" w:hint="eastAsia"/>
          <w:b/>
          <w:color w:val="C98700"/>
          <w:lang w:val="zh-TW" w:eastAsia="zh-TW"/>
        </w:rPr>
        <w:t xml:space="preserve">人物評價　</w:t>
      </w:r>
      <w:r w:rsidRPr="008B3580">
        <w:rPr>
          <w:rFonts w:ascii="細明體" w:eastAsia="細明體" w:hAnsi="細明體" w:cstheme="majorHAnsi"/>
          <w:b/>
          <w:lang w:val="zh-TW" w:eastAsia="zh-TW"/>
        </w:rPr>
        <w:t>勝野雅央不是單純掛名學者，而是同時具備日本罕病試驗設計、跨院執行、臨床量表判讀與核准後落地經驗的核心人物。他對Stemchymal最大的價值，是讓SARA</w:t>
      </w:r>
      <w:r w:rsidRPr="008B3580">
        <w:rPr>
          <w:rFonts w:ascii="Cambria Math" w:eastAsia="細明體" w:hAnsi="Cambria Math" w:cs="Cambria Math"/>
          <w:b/>
          <w:lang w:val="zh-TW" w:eastAsia="zh-TW"/>
        </w:rPr>
        <w:t>≥</w:t>
      </w:r>
      <w:r w:rsidRPr="008B3580">
        <w:rPr>
          <w:rFonts w:ascii="細明體" w:eastAsia="細明體" w:hAnsi="細明體" w:cstheme="majorHAnsi"/>
          <w:b/>
          <w:lang w:val="zh-TW" w:eastAsia="zh-TW"/>
        </w:rPr>
        <w:t>11的統計發現能被轉譯成日本神經科與監管端可採用的醫學論述。</w:t>
      </w:r>
    </w:p>
    <w:p w14:paraId="42C49E58" w14:textId="77777777" w:rsidR="00CD2042" w:rsidRPr="008B3580" w:rsidRDefault="00000000">
      <w:pPr>
        <w:keepNext/>
        <w:pageBreakBefore/>
        <w:spacing w:after="100"/>
        <w:rPr>
          <w:rFonts w:ascii="細明體" w:eastAsia="細明體" w:hAnsi="細明體" w:cstheme="majorHAnsi"/>
          <w:b/>
        </w:rPr>
      </w:pPr>
      <w:r w:rsidRPr="008B3580">
        <w:rPr>
          <w:rFonts w:ascii="細明體" w:eastAsia="細明體" w:hAnsi="細明體" w:cstheme="majorHAnsi"/>
          <w:b/>
          <w:color w:val="0F6B78"/>
          <w:sz w:val="19"/>
          <w:lang w:eastAsia="zh-TW"/>
        </w:rPr>
        <w:lastRenderedPageBreak/>
        <w:t>03 • U.S. PHASE II TEAM</w:t>
      </w:r>
    </w:p>
    <w:p w14:paraId="0BFB7235" w14:textId="77777777" w:rsidR="00CD2042" w:rsidRPr="008B3580" w:rsidRDefault="00000000">
      <w:pPr>
        <w:pStyle w:val="1"/>
        <w:rPr>
          <w:rFonts w:ascii="細明體" w:eastAsia="細明體" w:hAnsi="細明體" w:cstheme="majorHAnsi"/>
          <w:bCs w:val="0"/>
          <w:lang w:eastAsia="zh-TW"/>
        </w:rPr>
      </w:pPr>
      <w:r w:rsidRPr="008B3580">
        <w:rPr>
          <w:rFonts w:ascii="細明體" w:eastAsia="細明體" w:hAnsi="細明體" w:cs="新細明體" w:hint="eastAsia"/>
          <w:bCs w:val="0"/>
          <w:lang w:val="zh-TW" w:eastAsia="zh-TW"/>
        </w:rPr>
        <w:t>美國二期團隊：</w:t>
      </w:r>
      <w:r w:rsidRPr="008B3580">
        <w:rPr>
          <w:rFonts w:ascii="細明體" w:eastAsia="細明體" w:hAnsi="細明體" w:cstheme="majorHAnsi"/>
          <w:bCs w:val="0"/>
          <w:lang w:val="zh-TW" w:eastAsia="zh-TW"/>
        </w:rPr>
        <w:t>SCA</w:t>
      </w:r>
      <w:r w:rsidRPr="008B3580">
        <w:rPr>
          <w:rFonts w:ascii="細明體" w:eastAsia="細明體" w:hAnsi="細明體" w:cs="新細明體" w:hint="eastAsia"/>
          <w:bCs w:val="0"/>
          <w:lang w:val="zh-TW" w:eastAsia="zh-TW"/>
        </w:rPr>
        <w:t>權威＋前</w:t>
      </w:r>
      <w:r w:rsidRPr="008B3580">
        <w:rPr>
          <w:rFonts w:ascii="細明體" w:eastAsia="細明體" w:hAnsi="細明體" w:cstheme="majorHAnsi"/>
          <w:bCs w:val="0"/>
          <w:lang w:val="zh-TW" w:eastAsia="zh-TW"/>
        </w:rPr>
        <w:t>FDA</w:t>
      </w:r>
      <w:r w:rsidRPr="008B3580">
        <w:rPr>
          <w:rFonts w:ascii="細明體" w:eastAsia="細明體" w:hAnsi="細明體" w:cs="新細明體" w:hint="eastAsia"/>
          <w:bCs w:val="0"/>
          <w:lang w:val="zh-TW" w:eastAsia="zh-TW"/>
        </w:rPr>
        <w:t>細胞治療主管</w:t>
      </w:r>
    </w:p>
    <w:p w14:paraId="485925BC" w14:textId="77777777" w:rsidR="00CD2042" w:rsidRPr="008B3580" w:rsidRDefault="00000000">
      <w:pPr>
        <w:rPr>
          <w:rFonts w:ascii="細明體" w:eastAsia="細明體" w:hAnsi="細明體" w:cstheme="majorHAnsi"/>
          <w:b/>
          <w:lang w:eastAsia="zh-TW"/>
        </w:rPr>
      </w:pPr>
      <w:r w:rsidRPr="008B3580">
        <w:rPr>
          <w:rFonts w:ascii="細明體" w:eastAsia="細明體" w:hAnsi="細明體" w:cstheme="majorHAnsi"/>
          <w:b/>
          <w:lang w:val="zh-TW" w:eastAsia="zh-TW"/>
        </w:rPr>
        <w:t>仲恩規劃以隨機、雙盲、安慰劑對照方式，在UCLA與南佛羅里達大學推進美國二期。團隊的價值不只在名氣，而是三人的專長剛好涵蓋SCA自然史、SARA評分、病人來源、試驗執行與FDA法規。</w:t>
      </w:r>
    </w:p>
    <w:tbl>
      <w:tblPr>
        <w:tblStyle w:val="aff2"/>
        <w:tblW w:w="9360" w:type="dxa"/>
        <w:jc w:val="center"/>
        <w:tblLayout w:type="fixed"/>
        <w:tblLook w:val="04A0" w:firstRow="1" w:lastRow="0" w:firstColumn="1" w:lastColumn="0" w:noHBand="0" w:noVBand="1"/>
      </w:tblPr>
      <w:tblGrid>
        <w:gridCol w:w="2738"/>
        <w:gridCol w:w="2739"/>
        <w:gridCol w:w="3883"/>
      </w:tblGrid>
      <w:tr w:rsidR="00CD2042" w:rsidRPr="008B3580" w14:paraId="35B8D8A6" w14:textId="77777777">
        <w:trPr>
          <w:cantSplit/>
          <w:tblHeader/>
          <w:jc w:val="center"/>
        </w:trPr>
        <w:tc>
          <w:tcPr>
            <w:tcW w:w="1980" w:type="dxa"/>
            <w:shd w:val="clear" w:color="auto" w:fill="183B62"/>
            <w:tcMar>
              <w:top w:w="80" w:type="dxa"/>
              <w:left w:w="120" w:type="dxa"/>
              <w:bottom w:w="80" w:type="dxa"/>
              <w:right w:w="120" w:type="dxa"/>
            </w:tcMar>
            <w:vAlign w:val="center"/>
          </w:tcPr>
          <w:p w14:paraId="1F0965E8" w14:textId="77777777" w:rsidR="00CD2042" w:rsidRPr="008B3580" w:rsidRDefault="00000000">
            <w:pPr>
              <w:spacing w:after="0" w:line="240" w:lineRule="auto"/>
              <w:jc w:val="center"/>
              <w:rPr>
                <w:rFonts w:ascii="細明體" w:eastAsia="細明體" w:hAnsi="細明體" w:cstheme="majorHAnsi"/>
                <w:b/>
              </w:rPr>
            </w:pPr>
            <w:r w:rsidRPr="008B3580">
              <w:rPr>
                <w:rFonts w:ascii="細明體" w:eastAsia="細明體" w:hAnsi="細明體" w:cs="新細明體" w:hint="eastAsia"/>
                <w:b/>
                <w:color w:val="FFFFFF"/>
                <w:sz w:val="19"/>
                <w:lang w:val="zh-TW" w:eastAsia="zh-TW"/>
              </w:rPr>
              <w:t>人物</w:t>
            </w:r>
          </w:p>
        </w:tc>
        <w:tc>
          <w:tcPr>
            <w:tcW w:w="2940" w:type="dxa"/>
            <w:shd w:val="clear" w:color="auto" w:fill="183B62"/>
            <w:tcMar>
              <w:top w:w="80" w:type="dxa"/>
              <w:left w:w="120" w:type="dxa"/>
              <w:bottom w:w="80" w:type="dxa"/>
              <w:right w:w="120" w:type="dxa"/>
            </w:tcMar>
            <w:vAlign w:val="center"/>
          </w:tcPr>
          <w:p w14:paraId="46972922" w14:textId="77777777" w:rsidR="00CD2042" w:rsidRPr="008B3580" w:rsidRDefault="00000000">
            <w:pPr>
              <w:spacing w:after="0" w:line="240" w:lineRule="auto"/>
              <w:jc w:val="center"/>
              <w:rPr>
                <w:rFonts w:ascii="細明體" w:eastAsia="細明體" w:hAnsi="細明體" w:cstheme="majorHAnsi"/>
                <w:b/>
              </w:rPr>
            </w:pPr>
            <w:r w:rsidRPr="008B3580">
              <w:rPr>
                <w:rFonts w:ascii="細明體" w:eastAsia="細明體" w:hAnsi="細明體" w:cs="新細明體" w:hint="eastAsia"/>
                <w:b/>
                <w:color w:val="FFFFFF"/>
                <w:sz w:val="19"/>
                <w:lang w:val="zh-TW" w:eastAsia="zh-TW"/>
              </w:rPr>
              <w:t>背景與權威性</w:t>
            </w:r>
          </w:p>
        </w:tc>
        <w:tc>
          <w:tcPr>
            <w:tcW w:w="4440" w:type="dxa"/>
            <w:shd w:val="clear" w:color="auto" w:fill="183B62"/>
            <w:tcMar>
              <w:top w:w="80" w:type="dxa"/>
              <w:left w:w="120" w:type="dxa"/>
              <w:bottom w:w="80" w:type="dxa"/>
              <w:right w:w="120" w:type="dxa"/>
            </w:tcMar>
            <w:vAlign w:val="center"/>
          </w:tcPr>
          <w:p w14:paraId="3011CB81" w14:textId="77777777" w:rsidR="00CD2042" w:rsidRPr="008B3580" w:rsidRDefault="00000000">
            <w:pPr>
              <w:spacing w:after="0" w:line="240" w:lineRule="auto"/>
              <w:jc w:val="center"/>
              <w:rPr>
                <w:rFonts w:ascii="細明體" w:eastAsia="細明體" w:hAnsi="細明體" w:cstheme="majorHAnsi"/>
                <w:b/>
              </w:rPr>
            </w:pPr>
            <w:r w:rsidRPr="008B3580">
              <w:rPr>
                <w:rFonts w:ascii="細明體" w:eastAsia="細明體" w:hAnsi="細明體" w:cs="新細明體" w:hint="eastAsia"/>
                <w:b/>
                <w:color w:val="FFFFFF"/>
                <w:sz w:val="19"/>
                <w:lang w:val="zh-TW" w:eastAsia="zh-TW"/>
              </w:rPr>
              <w:t>對仲恩的直接幫助</w:t>
            </w:r>
          </w:p>
        </w:tc>
      </w:tr>
      <w:tr w:rsidR="00CD2042" w:rsidRPr="008B3580" w14:paraId="0DE563F7" w14:textId="77777777">
        <w:trPr>
          <w:jc w:val="center"/>
        </w:trPr>
        <w:tc>
          <w:tcPr>
            <w:tcW w:w="3120" w:type="dxa"/>
          </w:tcPr>
          <w:p w14:paraId="0F5C2868" w14:textId="77777777" w:rsidR="00CD2042" w:rsidRPr="008B3580" w:rsidRDefault="00000000">
            <w:pPr>
              <w:keepLines/>
              <w:spacing w:after="0" w:line="252" w:lineRule="auto"/>
              <w:rPr>
                <w:rFonts w:ascii="細明體" w:eastAsia="細明體" w:hAnsi="細明體" w:cstheme="majorHAnsi"/>
                <w:b/>
              </w:rPr>
            </w:pPr>
            <w:r w:rsidRPr="008B3580">
              <w:rPr>
                <w:rFonts w:ascii="細明體" w:eastAsia="細明體" w:hAnsi="細明體" w:cstheme="majorHAnsi"/>
                <w:b/>
                <w:color w:val="183B62"/>
                <w:sz w:val="19"/>
                <w:lang w:val="zh-TW" w:eastAsia="zh-TW"/>
              </w:rPr>
              <w:t>Susan Perlman, MD</w:t>
            </w:r>
          </w:p>
        </w:tc>
        <w:tc>
          <w:tcPr>
            <w:tcW w:w="3120" w:type="dxa"/>
          </w:tcPr>
          <w:p w14:paraId="5D86D7ED" w14:textId="77777777" w:rsidR="00CD2042" w:rsidRPr="008B3580" w:rsidRDefault="00000000">
            <w:pPr>
              <w:keepLines/>
              <w:spacing w:after="0" w:line="252" w:lineRule="auto"/>
              <w:rPr>
                <w:rFonts w:ascii="細明體" w:eastAsia="細明體" w:hAnsi="細明體" w:cstheme="majorHAnsi"/>
                <w:b/>
                <w:lang w:eastAsia="zh-TW"/>
              </w:rPr>
            </w:pPr>
            <w:r w:rsidRPr="008B3580">
              <w:rPr>
                <w:rFonts w:ascii="細明體" w:eastAsia="細明體" w:hAnsi="細明體" w:cstheme="majorHAnsi"/>
                <w:b/>
                <w:sz w:val="18"/>
                <w:lang w:eastAsia="zh-TW"/>
              </w:rPr>
              <w:t>UCLA</w:t>
            </w:r>
            <w:r w:rsidRPr="008B3580">
              <w:rPr>
                <w:rFonts w:ascii="細明體" w:eastAsia="細明體" w:hAnsi="細明體" w:cstheme="majorHAnsi"/>
                <w:b/>
                <w:sz w:val="18"/>
                <w:lang w:val="zh-TW" w:eastAsia="zh-TW"/>
              </w:rPr>
              <w:t>神經學臨床教授</w:t>
            </w:r>
            <w:r w:rsidRPr="008B3580">
              <w:rPr>
                <w:rFonts w:ascii="細明體" w:eastAsia="細明體" w:hAnsi="細明體" w:cstheme="majorHAnsi"/>
                <w:b/>
                <w:sz w:val="18"/>
                <w:lang w:eastAsia="zh-TW"/>
              </w:rPr>
              <w:t>；UCLA Ataxia Clinic</w:t>
            </w:r>
            <w:r w:rsidRPr="008B3580">
              <w:rPr>
                <w:rFonts w:ascii="細明體" w:eastAsia="細明體" w:hAnsi="細明體" w:cstheme="majorHAnsi"/>
                <w:b/>
                <w:sz w:val="18"/>
                <w:lang w:val="zh-TW" w:eastAsia="zh-TW"/>
              </w:rPr>
              <w:t>與臨床試驗主任。中心每年約接收150–200名新病人，累積服務逾2,500名患者與家族。</w:t>
            </w:r>
          </w:p>
        </w:tc>
        <w:tc>
          <w:tcPr>
            <w:tcW w:w="3120" w:type="dxa"/>
          </w:tcPr>
          <w:p w14:paraId="19167724" w14:textId="77777777" w:rsidR="00CD2042" w:rsidRPr="008B3580" w:rsidRDefault="00000000">
            <w:pPr>
              <w:keepLines/>
              <w:spacing w:after="0" w:line="252" w:lineRule="auto"/>
              <w:rPr>
                <w:rFonts w:ascii="細明體" w:eastAsia="細明體" w:hAnsi="細明體" w:cstheme="majorHAnsi"/>
                <w:b/>
                <w:lang w:eastAsia="zh-TW"/>
              </w:rPr>
            </w:pPr>
            <w:r w:rsidRPr="008B3580">
              <w:rPr>
                <w:rFonts w:ascii="細明體" w:eastAsia="細明體" w:hAnsi="細明體" w:cstheme="majorHAnsi"/>
                <w:b/>
                <w:sz w:val="18"/>
                <w:lang w:val="zh-TW" w:eastAsia="zh-TW"/>
              </w:rPr>
              <w:t>美國頂尖SCA KOL與高量病人來源；可強化收案速度、正確族群選擇、SARA評分訓練及整體試驗可信度。</w:t>
            </w:r>
          </w:p>
        </w:tc>
      </w:tr>
      <w:tr w:rsidR="00CD2042" w:rsidRPr="008B3580" w14:paraId="7183E570" w14:textId="77777777">
        <w:trPr>
          <w:jc w:val="center"/>
        </w:trPr>
        <w:tc>
          <w:tcPr>
            <w:tcW w:w="3120" w:type="dxa"/>
            <w:shd w:val="clear" w:color="auto" w:fill="F2F4F7"/>
          </w:tcPr>
          <w:p w14:paraId="3438C3F0" w14:textId="77777777" w:rsidR="00CD2042" w:rsidRPr="008B3580" w:rsidRDefault="00000000">
            <w:pPr>
              <w:keepLines/>
              <w:spacing w:after="0" w:line="252" w:lineRule="auto"/>
              <w:rPr>
                <w:rFonts w:ascii="細明體" w:eastAsia="細明體" w:hAnsi="細明體" w:cstheme="majorHAnsi"/>
                <w:b/>
              </w:rPr>
            </w:pPr>
            <w:r w:rsidRPr="008B3580">
              <w:rPr>
                <w:rFonts w:ascii="細明體" w:eastAsia="細明體" w:hAnsi="細明體" w:cstheme="majorHAnsi"/>
                <w:b/>
                <w:color w:val="183B62"/>
                <w:sz w:val="19"/>
                <w:lang w:val="zh-TW" w:eastAsia="zh-TW"/>
              </w:rPr>
              <w:t>Theresa Zesiewicz, MD, FAAN</w:t>
            </w:r>
          </w:p>
        </w:tc>
        <w:tc>
          <w:tcPr>
            <w:tcW w:w="3120" w:type="dxa"/>
            <w:shd w:val="clear" w:color="auto" w:fill="F2F4F7"/>
          </w:tcPr>
          <w:p w14:paraId="00C1936D" w14:textId="77777777" w:rsidR="00CD2042" w:rsidRPr="008B3580" w:rsidRDefault="00000000">
            <w:pPr>
              <w:keepLines/>
              <w:spacing w:after="0" w:line="252" w:lineRule="auto"/>
              <w:rPr>
                <w:rFonts w:ascii="細明體" w:eastAsia="細明體" w:hAnsi="細明體" w:cstheme="majorHAnsi"/>
                <w:b/>
              </w:rPr>
            </w:pPr>
            <w:r w:rsidRPr="008B3580">
              <w:rPr>
                <w:rFonts w:ascii="細明體" w:eastAsia="細明體" w:hAnsi="細明體" w:cstheme="majorHAnsi"/>
                <w:b/>
                <w:sz w:val="18"/>
                <w:lang w:val="zh-TW" w:eastAsia="zh-TW"/>
              </w:rPr>
              <w:t>南佛羅里達大學神經學教授、</w:t>
            </w:r>
            <w:r w:rsidRPr="008B3580">
              <w:rPr>
                <w:rFonts w:ascii="細明體" w:eastAsia="細明體" w:hAnsi="細明體" w:cstheme="majorHAnsi"/>
                <w:b/>
                <w:sz w:val="18"/>
                <w:lang w:eastAsia="zh-TW"/>
              </w:rPr>
              <w:t>USF Ataxia Research Center</w:t>
            </w:r>
            <w:r w:rsidRPr="008B3580">
              <w:rPr>
                <w:rFonts w:ascii="細明體" w:eastAsia="細明體" w:hAnsi="細明體" w:cstheme="majorHAnsi"/>
                <w:b/>
                <w:sz w:val="18"/>
                <w:lang w:val="zh-TW" w:eastAsia="zh-TW"/>
              </w:rPr>
              <w:t>主任</w:t>
            </w:r>
            <w:r w:rsidRPr="008B3580">
              <w:rPr>
                <w:rFonts w:ascii="細明體" w:eastAsia="細明體" w:hAnsi="細明體" w:cstheme="majorHAnsi"/>
                <w:b/>
                <w:sz w:val="18"/>
                <w:lang w:eastAsia="zh-TW"/>
              </w:rPr>
              <w:t>；</w:t>
            </w:r>
            <w:r w:rsidRPr="008B3580">
              <w:rPr>
                <w:rFonts w:ascii="細明體" w:eastAsia="細明體" w:hAnsi="細明體" w:cstheme="majorHAnsi"/>
                <w:b/>
                <w:sz w:val="18"/>
                <w:lang w:val="zh-TW" w:eastAsia="zh-TW"/>
              </w:rPr>
              <w:t>長期執行多中心</w:t>
            </w:r>
            <w:r w:rsidRPr="008B3580">
              <w:rPr>
                <w:rFonts w:ascii="細明體" w:eastAsia="細明體" w:hAnsi="細明體" w:cstheme="majorHAnsi"/>
                <w:b/>
                <w:sz w:val="18"/>
                <w:lang w:eastAsia="zh-TW"/>
              </w:rPr>
              <w:t>SCA</w:t>
            </w:r>
            <w:r w:rsidRPr="008B3580">
              <w:rPr>
                <w:rFonts w:ascii="細明體" w:eastAsia="細明體" w:hAnsi="細明體" w:cstheme="majorHAnsi"/>
                <w:b/>
                <w:sz w:val="18"/>
                <w:lang w:val="zh-TW" w:eastAsia="zh-TW"/>
              </w:rPr>
              <w:t>與幹細胞研究。</w:t>
            </w:r>
          </w:p>
        </w:tc>
        <w:tc>
          <w:tcPr>
            <w:tcW w:w="3120" w:type="dxa"/>
            <w:shd w:val="clear" w:color="auto" w:fill="F2F4F7"/>
          </w:tcPr>
          <w:p w14:paraId="1D4169C8" w14:textId="77777777" w:rsidR="00CD2042" w:rsidRPr="008B3580" w:rsidRDefault="00000000">
            <w:pPr>
              <w:keepLines/>
              <w:spacing w:after="0" w:line="252" w:lineRule="auto"/>
              <w:rPr>
                <w:rFonts w:ascii="細明體" w:eastAsia="細明體" w:hAnsi="細明體" w:cstheme="majorHAnsi"/>
                <w:b/>
                <w:lang w:eastAsia="zh-TW"/>
              </w:rPr>
            </w:pPr>
            <w:r w:rsidRPr="008B3580">
              <w:rPr>
                <w:rFonts w:ascii="細明體" w:eastAsia="細明體" w:hAnsi="細明體" w:cstheme="majorHAnsi"/>
                <w:b/>
                <w:sz w:val="18"/>
                <w:lang w:val="zh-TW" w:eastAsia="zh-TW"/>
              </w:rPr>
              <w:t>提供第二個高品質SCA中心，提升跨中心再現性、評分者一致性與收案能力，降低單一中心資料的不確定性。</w:t>
            </w:r>
          </w:p>
        </w:tc>
      </w:tr>
      <w:tr w:rsidR="00CD2042" w:rsidRPr="008B3580" w14:paraId="1F494C49" w14:textId="77777777">
        <w:trPr>
          <w:jc w:val="center"/>
        </w:trPr>
        <w:tc>
          <w:tcPr>
            <w:tcW w:w="3120" w:type="dxa"/>
          </w:tcPr>
          <w:p w14:paraId="6C05DF7A" w14:textId="77777777" w:rsidR="00CD2042" w:rsidRPr="008B3580" w:rsidRDefault="00000000">
            <w:pPr>
              <w:keepLines/>
              <w:spacing w:after="0" w:line="252" w:lineRule="auto"/>
              <w:rPr>
                <w:rFonts w:ascii="細明體" w:eastAsia="細明體" w:hAnsi="細明體" w:cstheme="majorHAnsi"/>
                <w:b/>
              </w:rPr>
            </w:pPr>
            <w:r w:rsidRPr="008B3580">
              <w:rPr>
                <w:rFonts w:ascii="細明體" w:eastAsia="細明體" w:hAnsi="細明體" w:cstheme="majorHAnsi"/>
                <w:b/>
                <w:color w:val="183B62"/>
                <w:sz w:val="19"/>
                <w:lang w:val="zh-TW" w:eastAsia="zh-TW"/>
              </w:rPr>
              <w:t>Kurt Gunter, MD</w:t>
            </w:r>
          </w:p>
        </w:tc>
        <w:tc>
          <w:tcPr>
            <w:tcW w:w="3120" w:type="dxa"/>
          </w:tcPr>
          <w:p w14:paraId="385B2F33" w14:textId="77777777" w:rsidR="00CD2042" w:rsidRPr="008B3580" w:rsidRDefault="00000000">
            <w:pPr>
              <w:keepLines/>
              <w:spacing w:after="0" w:line="252" w:lineRule="auto"/>
              <w:rPr>
                <w:rFonts w:ascii="細明體" w:eastAsia="細明體" w:hAnsi="細明體" w:cstheme="majorHAnsi"/>
                <w:b/>
                <w:lang w:eastAsia="zh-TW"/>
              </w:rPr>
            </w:pPr>
            <w:r w:rsidRPr="008B3580">
              <w:rPr>
                <w:rFonts w:ascii="細明體" w:eastAsia="細明體" w:hAnsi="細明體" w:cstheme="majorHAnsi"/>
                <w:b/>
                <w:sz w:val="18"/>
                <w:lang w:val="zh-TW" w:eastAsia="zh-TW"/>
              </w:rPr>
              <w:t>約37年藥物開發經驗；職涯起於FDA，具細胞治療、幹細胞、罕病、臨床開發與法規專長；曾任ISCT主席。</w:t>
            </w:r>
          </w:p>
        </w:tc>
        <w:tc>
          <w:tcPr>
            <w:tcW w:w="3120" w:type="dxa"/>
          </w:tcPr>
          <w:p w14:paraId="1D2E9650" w14:textId="77777777" w:rsidR="00CD2042" w:rsidRPr="008B3580" w:rsidRDefault="00000000">
            <w:pPr>
              <w:keepLines/>
              <w:spacing w:after="0" w:line="252" w:lineRule="auto"/>
              <w:rPr>
                <w:rFonts w:ascii="細明體" w:eastAsia="細明體" w:hAnsi="細明體" w:cstheme="majorHAnsi"/>
                <w:b/>
                <w:lang w:eastAsia="zh-TW"/>
              </w:rPr>
            </w:pPr>
            <w:r w:rsidRPr="008B3580">
              <w:rPr>
                <w:rFonts w:ascii="細明體" w:eastAsia="細明體" w:hAnsi="細明體" w:cstheme="majorHAnsi"/>
                <w:b/>
                <w:sz w:val="18"/>
                <w:lang w:val="zh-TW" w:eastAsia="zh-TW"/>
              </w:rPr>
              <w:t>依管理層說明主筆美國二期synopsis；能把疾病KOL的臨床需求轉成FDA可溝通的protocol、SAP、CMC與長期安全性架構。</w:t>
            </w:r>
          </w:p>
        </w:tc>
      </w:tr>
    </w:tbl>
    <w:p w14:paraId="5A006276" w14:textId="77777777" w:rsidR="00CD2042" w:rsidRPr="008B3580" w:rsidRDefault="00000000">
      <w:pPr>
        <w:pStyle w:val="2"/>
        <w:rPr>
          <w:rFonts w:ascii="細明體" w:eastAsia="細明體" w:hAnsi="細明體" w:cstheme="majorHAnsi"/>
          <w:bCs w:val="0"/>
          <w:lang w:eastAsia="zh-TW"/>
        </w:rPr>
      </w:pPr>
      <w:r w:rsidRPr="008B3580">
        <w:rPr>
          <w:rFonts w:ascii="細明體" w:eastAsia="細明體" w:hAnsi="細明體" w:cs="新細明體" w:hint="eastAsia"/>
          <w:bCs w:val="0"/>
          <w:lang w:val="zh-TW" w:eastAsia="zh-TW"/>
        </w:rPr>
        <w:t>最重要的證據鏈：兩位美國</w:t>
      </w:r>
      <w:r w:rsidRPr="008B3580">
        <w:rPr>
          <w:rFonts w:ascii="細明體" w:eastAsia="細明體" w:hAnsi="細明體" w:cstheme="majorHAnsi"/>
          <w:bCs w:val="0"/>
          <w:lang w:val="zh-TW" w:eastAsia="zh-TW"/>
        </w:rPr>
        <w:t>PI</w:t>
      </w:r>
      <w:r w:rsidRPr="008B3580">
        <w:rPr>
          <w:rFonts w:ascii="細明體" w:eastAsia="細明體" w:hAnsi="細明體" w:cs="新細明體" w:hint="eastAsia"/>
          <w:bCs w:val="0"/>
          <w:lang w:val="zh-TW" w:eastAsia="zh-TW"/>
        </w:rPr>
        <w:t>正是日本論述所引用的作者</w:t>
      </w:r>
    </w:p>
    <w:p w14:paraId="5BCE2FD1" w14:textId="77777777" w:rsidR="00CD2042" w:rsidRPr="008B3580" w:rsidRDefault="00000000">
      <w:pPr>
        <w:rPr>
          <w:rFonts w:ascii="細明體" w:eastAsia="細明體" w:hAnsi="細明體" w:cstheme="majorHAnsi"/>
          <w:b/>
          <w:lang w:eastAsia="zh-TW"/>
        </w:rPr>
      </w:pPr>
      <w:r w:rsidRPr="008B3580">
        <w:rPr>
          <w:rFonts w:ascii="細明體" w:eastAsia="細明體" w:hAnsi="細明體" w:cstheme="majorHAnsi"/>
          <w:b/>
          <w:lang w:eastAsia="zh-TW"/>
        </w:rPr>
        <w:t>Perlman</w:t>
      </w:r>
      <w:r w:rsidRPr="008B3580">
        <w:rPr>
          <w:rFonts w:ascii="細明體" w:eastAsia="細明體" w:hAnsi="細明體" w:cstheme="majorHAnsi"/>
          <w:b/>
          <w:lang w:val="zh-TW" w:eastAsia="zh-TW"/>
        </w:rPr>
        <w:t>與</w:t>
      </w:r>
      <w:proofErr w:type="spellStart"/>
      <w:r w:rsidRPr="008B3580">
        <w:rPr>
          <w:rFonts w:ascii="細明體" w:eastAsia="細明體" w:hAnsi="細明體" w:cstheme="majorHAnsi"/>
          <w:b/>
          <w:lang w:eastAsia="zh-TW"/>
        </w:rPr>
        <w:t>Zesiewicz</w:t>
      </w:r>
      <w:proofErr w:type="spellEnd"/>
      <w:r w:rsidRPr="008B3580">
        <w:rPr>
          <w:rFonts w:ascii="細明體" w:eastAsia="細明體" w:hAnsi="細明體" w:cstheme="majorHAnsi"/>
          <w:b/>
          <w:lang w:val="zh-TW" w:eastAsia="zh-TW"/>
        </w:rPr>
        <w:t>共同參與一項</w:t>
      </w:r>
      <w:r w:rsidRPr="008B3580">
        <w:rPr>
          <w:rFonts w:ascii="細明體" w:eastAsia="細明體" w:hAnsi="細明體" w:cstheme="majorHAnsi"/>
          <w:b/>
          <w:lang w:eastAsia="zh-TW"/>
        </w:rPr>
        <w:t>345</w:t>
      </w:r>
      <w:r w:rsidRPr="008B3580">
        <w:rPr>
          <w:rFonts w:ascii="細明體" w:eastAsia="細明體" w:hAnsi="細明體" w:cstheme="majorHAnsi"/>
          <w:b/>
          <w:lang w:val="zh-TW" w:eastAsia="zh-TW"/>
        </w:rPr>
        <w:t>名患者、</w:t>
      </w:r>
      <w:r w:rsidRPr="008B3580">
        <w:rPr>
          <w:rFonts w:ascii="細明體" w:eastAsia="細明體" w:hAnsi="細明體" w:cstheme="majorHAnsi"/>
          <w:b/>
          <w:lang w:eastAsia="zh-TW"/>
        </w:rPr>
        <w:t>12</w:t>
      </w:r>
      <w:r w:rsidRPr="008B3580">
        <w:rPr>
          <w:rFonts w:ascii="細明體" w:eastAsia="細明體" w:hAnsi="細明體" w:cstheme="majorHAnsi"/>
          <w:b/>
          <w:lang w:val="zh-TW" w:eastAsia="zh-TW"/>
        </w:rPr>
        <w:t>個美國中心的</w:t>
      </w:r>
      <w:r w:rsidRPr="008B3580">
        <w:rPr>
          <w:rFonts w:ascii="細明體" w:eastAsia="細明體" w:hAnsi="細明體" w:cstheme="majorHAnsi"/>
          <w:b/>
          <w:lang w:eastAsia="zh-TW"/>
        </w:rPr>
        <w:t>SCA1／2／3／6</w:t>
      </w:r>
      <w:r w:rsidRPr="008B3580">
        <w:rPr>
          <w:rFonts w:ascii="細明體" w:eastAsia="細明體" w:hAnsi="細明體" w:cstheme="majorHAnsi"/>
          <w:b/>
          <w:lang w:val="zh-TW" w:eastAsia="zh-TW"/>
        </w:rPr>
        <w:t>前瞻性自然史研究</w:t>
      </w:r>
      <w:r w:rsidRPr="008B3580">
        <w:rPr>
          <w:rFonts w:ascii="細明體" w:eastAsia="細明體" w:hAnsi="細明體" w:cstheme="majorHAnsi"/>
          <w:b/>
          <w:lang w:eastAsia="zh-TW"/>
        </w:rPr>
        <w:t>，</w:t>
      </w:r>
      <w:r w:rsidRPr="008B3580">
        <w:rPr>
          <w:rFonts w:ascii="細明體" w:eastAsia="細明體" w:hAnsi="細明體" w:cstheme="majorHAnsi"/>
          <w:b/>
          <w:lang w:val="zh-TW" w:eastAsia="zh-TW"/>
        </w:rPr>
        <w:t>以</w:t>
      </w:r>
      <w:r w:rsidRPr="008B3580">
        <w:rPr>
          <w:rFonts w:ascii="細明體" w:eastAsia="細明體" w:hAnsi="細明體" w:cstheme="majorHAnsi"/>
          <w:b/>
          <w:lang w:eastAsia="zh-TW"/>
        </w:rPr>
        <w:t>SARA</w:t>
      </w:r>
      <w:r w:rsidRPr="008B3580">
        <w:rPr>
          <w:rFonts w:ascii="細明體" w:eastAsia="細明體" w:hAnsi="細明體" w:cstheme="majorHAnsi"/>
          <w:b/>
          <w:lang w:val="zh-TW" w:eastAsia="zh-TW"/>
        </w:rPr>
        <w:t>作為主要量表。REPROCELL在解釋日本二期高基線族群時，正是引用這篇研究來說明SCA3與SCA6的自然惡化速度。</w:t>
      </w:r>
    </w:p>
    <w:p w14:paraId="100D54CC" w14:textId="77777777" w:rsidR="00CD2042" w:rsidRPr="008B3580" w:rsidRDefault="00000000">
      <w:pPr>
        <w:keepLines/>
        <w:pBdr>
          <w:left w:val="single" w:sz="20" w:space="10" w:color="0F6B78"/>
        </w:pBdr>
        <w:shd w:val="clear" w:color="auto" w:fill="E8F4F4"/>
        <w:spacing w:before="80" w:after="200"/>
        <w:ind w:left="173" w:right="173"/>
        <w:rPr>
          <w:rFonts w:ascii="細明體" w:eastAsia="細明體" w:hAnsi="細明體" w:cstheme="majorHAnsi"/>
          <w:b/>
          <w:lang w:eastAsia="zh-TW"/>
        </w:rPr>
      </w:pPr>
      <w:r w:rsidRPr="008B3580">
        <w:rPr>
          <w:rFonts w:ascii="細明體" w:eastAsia="細明體" w:hAnsi="細明體" w:cs="新細明體" w:hint="eastAsia"/>
          <w:b/>
          <w:color w:val="0F6B78"/>
          <w:lang w:val="zh-TW" w:eastAsia="zh-TW"/>
        </w:rPr>
        <w:t xml:space="preserve">團隊組合價值　</w:t>
      </w:r>
      <w:r w:rsidRPr="008B3580">
        <w:rPr>
          <w:rFonts w:ascii="細明體" w:eastAsia="細明體" w:hAnsi="細明體" w:cstheme="majorHAnsi"/>
          <w:b/>
          <w:lang w:val="zh-TW" w:eastAsia="zh-TW"/>
        </w:rPr>
        <w:t>Perlman／Zesiewicz的自然史資料直接強化日本SARA</w:t>
      </w:r>
      <w:r w:rsidRPr="008B3580">
        <w:rPr>
          <w:rFonts w:ascii="Cambria Math" w:eastAsia="細明體" w:hAnsi="Cambria Math" w:cs="Cambria Math"/>
          <w:b/>
          <w:lang w:val="zh-TW" w:eastAsia="zh-TW"/>
        </w:rPr>
        <w:t>≥</w:t>
      </w:r>
      <w:r w:rsidRPr="008B3580">
        <w:rPr>
          <w:rFonts w:ascii="細明體" w:eastAsia="細明體" w:hAnsi="細明體" w:cstheme="majorHAnsi"/>
          <w:b/>
          <w:lang w:val="zh-TW" w:eastAsia="zh-TW"/>
        </w:rPr>
        <w:t>11與RWD論述，也能延伸為美國二期的入選、量表與統計框架；Gunter再補上FDA與細胞治療法規。合作方因此看到的是完整的跨國證據鏈，而不是單一post hoc結果。</w:t>
      </w:r>
    </w:p>
    <w:p w14:paraId="6A7AD0DA" w14:textId="77777777" w:rsidR="00CD2042" w:rsidRPr="008B3580" w:rsidRDefault="00000000">
      <w:pPr>
        <w:keepNext/>
        <w:pageBreakBefore/>
        <w:spacing w:after="100"/>
        <w:rPr>
          <w:rFonts w:ascii="細明體" w:eastAsia="細明體" w:hAnsi="細明體" w:cstheme="majorHAnsi"/>
          <w:b/>
        </w:rPr>
      </w:pPr>
      <w:r w:rsidRPr="008B3580">
        <w:rPr>
          <w:rFonts w:ascii="細明體" w:eastAsia="細明體" w:hAnsi="細明體" w:cstheme="majorHAnsi"/>
          <w:b/>
          <w:color w:val="0F6B78"/>
          <w:sz w:val="19"/>
          <w:lang w:eastAsia="zh-TW"/>
        </w:rPr>
        <w:lastRenderedPageBreak/>
        <w:t>04 • COMPANY-LEVEL IMPACT</w:t>
      </w:r>
    </w:p>
    <w:p w14:paraId="04AB24A0" w14:textId="77777777" w:rsidR="00CD2042" w:rsidRPr="008B3580" w:rsidRDefault="00000000">
      <w:pPr>
        <w:pStyle w:val="1"/>
        <w:rPr>
          <w:rFonts w:ascii="細明體" w:eastAsia="細明體" w:hAnsi="細明體" w:cstheme="majorHAnsi"/>
          <w:bCs w:val="0"/>
          <w:lang w:eastAsia="zh-TW"/>
        </w:rPr>
      </w:pPr>
      <w:r w:rsidRPr="008B3580">
        <w:rPr>
          <w:rFonts w:ascii="細明體" w:eastAsia="細明體" w:hAnsi="細明體" w:cs="新細明體" w:hint="eastAsia"/>
          <w:bCs w:val="0"/>
          <w:lang w:val="zh-TW" w:eastAsia="zh-TW"/>
        </w:rPr>
        <w:t>這些法規與人物，如何提升仲恩的整體評價</w:t>
      </w:r>
    </w:p>
    <w:p w14:paraId="34A8B10B"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日本取證可信度上升：</w:t>
      </w:r>
      <w:r w:rsidRPr="008B3580">
        <w:rPr>
          <w:rFonts w:ascii="細明體" w:eastAsia="細明體" w:hAnsi="細明體" w:cstheme="majorHAnsi"/>
          <w:b/>
          <w:lang w:val="zh-TW" w:eastAsia="zh-TW"/>
        </w:rPr>
        <w:t>2024年兩份指引與Stemchymal的疾病、post hoc高基線族群、RWD方案及MSC產品屬性高度對應；2026年6月正式送件並獲孤兒再生醫療產品優先審查，代表制度路徑已經落地。</w:t>
      </w:r>
    </w:p>
    <w:p w14:paraId="469CBF33"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臨床團隊從區域型升級為國際型：</w:t>
      </w:r>
      <w:r w:rsidRPr="008B3580">
        <w:rPr>
          <w:rFonts w:ascii="細明體" w:eastAsia="細明體" w:hAnsi="細明體" w:cstheme="majorHAnsi"/>
          <w:b/>
          <w:lang w:val="zh-TW" w:eastAsia="zh-TW"/>
        </w:rPr>
        <w:t>日本有勝野雅央，美國有Perlman與Zesiewicz，法規端有Gunter，顯示公司已能吸引真正做過SCA自然史、罕病試驗與細胞治療法規的人才。</w:t>
      </w:r>
    </w:p>
    <w:p w14:paraId="065FD6F5"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資料可跨市場延伸：</w:t>
      </w:r>
      <w:r w:rsidRPr="008B3580">
        <w:rPr>
          <w:rFonts w:ascii="細明體" w:eastAsia="細明體" w:hAnsi="細明體" w:cstheme="majorHAnsi"/>
          <w:b/>
          <w:lang w:val="zh-TW" w:eastAsia="zh-TW"/>
        </w:rPr>
        <w:t>台日二期的SARA高基線訊號、日本上市後RWD與美國二期，可使用相近的自然史與評估框架，形成連續而非彼此割裂的證據包。</w:t>
      </w:r>
    </w:p>
    <w:p w14:paraId="25C616CC" w14:textId="77777777" w:rsidR="00CD2042" w:rsidRPr="008B3580" w:rsidRDefault="00000000">
      <w:pPr>
        <w:numPr>
          <w:ilvl w:val="0"/>
          <w:numId w:val="1"/>
        </w:numPr>
        <w:spacing w:after="160" w:line="280" w:lineRule="auto"/>
        <w:rPr>
          <w:rFonts w:ascii="細明體" w:eastAsia="細明體" w:hAnsi="細明體" w:cstheme="majorHAnsi"/>
          <w:b/>
          <w:lang w:eastAsia="zh-TW"/>
        </w:rPr>
      </w:pPr>
      <w:r w:rsidRPr="008B3580">
        <w:rPr>
          <w:rFonts w:ascii="細明體" w:eastAsia="細明體" w:hAnsi="細明體" w:cs="新細明體" w:hint="eastAsia"/>
          <w:b/>
          <w:color w:val="183B62"/>
          <w:lang w:val="zh-TW" w:eastAsia="zh-TW"/>
        </w:rPr>
        <w:t>商業合作品質提高：</w:t>
      </w:r>
      <w:r w:rsidRPr="008B3580">
        <w:rPr>
          <w:rFonts w:ascii="細明體" w:eastAsia="細明體" w:hAnsi="細明體" w:cstheme="majorHAnsi"/>
          <w:b/>
          <w:lang w:val="zh-TW" w:eastAsia="zh-TW"/>
        </w:rPr>
        <w:t>國際藥廠或授權方可同時看到日本真實世界商業化、美國受控試驗與權威KOL背書，這比單純依賴台灣資料更容易支持授權、共同開發或策略投資。</w:t>
      </w:r>
    </w:p>
    <w:p w14:paraId="3B6566E0" w14:textId="77777777" w:rsidR="00CD2042" w:rsidRPr="008B3580" w:rsidRDefault="00000000">
      <w:pPr>
        <w:keepLines/>
        <w:pBdr>
          <w:left w:val="single" w:sz="20" w:space="10" w:color="C98700"/>
        </w:pBdr>
        <w:shd w:val="clear" w:color="auto" w:fill="FFF4D6"/>
        <w:spacing w:before="80" w:after="200"/>
        <w:ind w:left="173" w:right="173"/>
        <w:rPr>
          <w:rFonts w:ascii="細明體" w:eastAsia="細明體" w:hAnsi="細明體" w:cstheme="majorHAnsi"/>
          <w:b/>
          <w:lang w:eastAsia="zh-TW"/>
        </w:rPr>
      </w:pPr>
      <w:r w:rsidRPr="008B3580">
        <w:rPr>
          <w:rFonts w:ascii="細明體" w:eastAsia="細明體" w:hAnsi="細明體" w:cs="新細明體" w:hint="eastAsia"/>
          <w:b/>
          <w:color w:val="C98700"/>
          <w:lang w:val="zh-TW" w:eastAsia="zh-TW"/>
        </w:rPr>
        <w:t xml:space="preserve">最終定位　</w:t>
      </w:r>
      <w:r w:rsidRPr="008B3580">
        <w:rPr>
          <w:rFonts w:ascii="細明體" w:eastAsia="細明體" w:hAnsi="細明體" w:cstheme="majorHAnsi"/>
          <w:b/>
          <w:lang w:val="zh-TW" w:eastAsia="zh-TW"/>
        </w:rPr>
        <w:t>仲恩已不再只是由台灣團隊單點推進的早期細胞治療公司，而是形成「日本臨床權威＋美國SCA自然史作者＋前FDA細胞治療主管＋日本商業化夥伴」的跨國開發架構。這套組合對日本取證、美國二期、上市後RWD與全球授權均構成實質加分。</w:t>
      </w:r>
    </w:p>
    <w:p w14:paraId="3C288641" w14:textId="77777777" w:rsidR="00CD2042" w:rsidRPr="008B3580" w:rsidRDefault="00000000">
      <w:pPr>
        <w:pStyle w:val="2"/>
        <w:rPr>
          <w:rFonts w:ascii="細明體" w:eastAsia="細明體" w:hAnsi="細明體" w:cstheme="majorHAnsi"/>
          <w:bCs w:val="0"/>
        </w:rPr>
      </w:pPr>
      <w:r w:rsidRPr="008B3580">
        <w:rPr>
          <w:rFonts w:ascii="細明體" w:eastAsia="細明體" w:hAnsi="細明體" w:cs="新細明體" w:hint="eastAsia"/>
          <w:bCs w:val="0"/>
          <w:lang w:val="zh-TW" w:eastAsia="zh-TW"/>
        </w:rPr>
        <w:t>重點判斷表</w:t>
      </w:r>
    </w:p>
    <w:tbl>
      <w:tblPr>
        <w:tblStyle w:val="aff2"/>
        <w:tblW w:w="9360" w:type="dxa"/>
        <w:jc w:val="center"/>
        <w:tblLayout w:type="fixed"/>
        <w:tblLook w:val="04A0" w:firstRow="1" w:lastRow="0" w:firstColumn="1" w:lastColumn="0" w:noHBand="0" w:noVBand="1"/>
      </w:tblPr>
      <w:tblGrid>
        <w:gridCol w:w="2723"/>
        <w:gridCol w:w="2724"/>
        <w:gridCol w:w="3913"/>
      </w:tblGrid>
      <w:tr w:rsidR="00CD2042" w:rsidRPr="008B3580" w14:paraId="71D9A7AC" w14:textId="77777777">
        <w:trPr>
          <w:cantSplit/>
          <w:tblHeader/>
          <w:jc w:val="center"/>
        </w:trPr>
        <w:tc>
          <w:tcPr>
            <w:tcW w:w="2520" w:type="dxa"/>
            <w:shd w:val="clear" w:color="auto" w:fill="183B62"/>
            <w:tcMar>
              <w:top w:w="80" w:type="dxa"/>
              <w:left w:w="120" w:type="dxa"/>
              <w:bottom w:w="80" w:type="dxa"/>
              <w:right w:w="120" w:type="dxa"/>
            </w:tcMar>
            <w:vAlign w:val="center"/>
          </w:tcPr>
          <w:p w14:paraId="79B32E25" w14:textId="77777777" w:rsidR="00CD2042" w:rsidRPr="008B3580" w:rsidRDefault="00000000">
            <w:pPr>
              <w:spacing w:after="0" w:line="240" w:lineRule="auto"/>
              <w:jc w:val="center"/>
              <w:rPr>
                <w:rFonts w:ascii="細明體" w:eastAsia="細明體" w:hAnsi="細明體" w:cstheme="majorHAnsi"/>
                <w:b/>
              </w:rPr>
            </w:pPr>
            <w:r w:rsidRPr="008B3580">
              <w:rPr>
                <w:rFonts w:ascii="細明體" w:eastAsia="細明體" w:hAnsi="細明體" w:cs="新細明體" w:hint="eastAsia"/>
                <w:b/>
                <w:color w:val="FFFFFF"/>
                <w:sz w:val="18"/>
                <w:lang w:val="zh-TW" w:eastAsia="zh-TW"/>
              </w:rPr>
              <w:t>項目</w:t>
            </w:r>
          </w:p>
        </w:tc>
        <w:tc>
          <w:tcPr>
            <w:tcW w:w="2340" w:type="dxa"/>
            <w:shd w:val="clear" w:color="auto" w:fill="183B62"/>
            <w:tcMar>
              <w:top w:w="80" w:type="dxa"/>
              <w:left w:w="120" w:type="dxa"/>
              <w:bottom w:w="80" w:type="dxa"/>
              <w:right w:w="120" w:type="dxa"/>
            </w:tcMar>
            <w:vAlign w:val="center"/>
          </w:tcPr>
          <w:p w14:paraId="69FE4D08" w14:textId="77777777" w:rsidR="00CD2042" w:rsidRPr="008B3580" w:rsidRDefault="00000000">
            <w:pPr>
              <w:spacing w:after="0" w:line="240" w:lineRule="auto"/>
              <w:jc w:val="center"/>
              <w:rPr>
                <w:rFonts w:ascii="細明體" w:eastAsia="細明體" w:hAnsi="細明體" w:cstheme="majorHAnsi"/>
                <w:b/>
              </w:rPr>
            </w:pPr>
            <w:r w:rsidRPr="008B3580">
              <w:rPr>
                <w:rFonts w:ascii="細明體" w:eastAsia="細明體" w:hAnsi="細明體" w:cs="新細明體" w:hint="eastAsia"/>
                <w:b/>
                <w:color w:val="FFFFFF"/>
                <w:sz w:val="18"/>
                <w:lang w:val="zh-TW" w:eastAsia="zh-TW"/>
              </w:rPr>
              <w:t>判斷</w:t>
            </w:r>
          </w:p>
        </w:tc>
        <w:tc>
          <w:tcPr>
            <w:tcW w:w="4500" w:type="dxa"/>
            <w:shd w:val="clear" w:color="auto" w:fill="183B62"/>
            <w:tcMar>
              <w:top w:w="80" w:type="dxa"/>
              <w:left w:w="120" w:type="dxa"/>
              <w:bottom w:w="80" w:type="dxa"/>
              <w:right w:w="120" w:type="dxa"/>
            </w:tcMar>
            <w:vAlign w:val="center"/>
          </w:tcPr>
          <w:p w14:paraId="5BDE1507" w14:textId="77777777" w:rsidR="00CD2042" w:rsidRPr="008B3580" w:rsidRDefault="00000000">
            <w:pPr>
              <w:spacing w:after="0" w:line="240" w:lineRule="auto"/>
              <w:jc w:val="center"/>
              <w:rPr>
                <w:rFonts w:ascii="細明體" w:eastAsia="細明體" w:hAnsi="細明體" w:cstheme="majorHAnsi"/>
                <w:b/>
              </w:rPr>
            </w:pPr>
            <w:r w:rsidRPr="008B3580">
              <w:rPr>
                <w:rFonts w:ascii="細明體" w:eastAsia="細明體" w:hAnsi="細明體" w:cs="新細明體" w:hint="eastAsia"/>
                <w:b/>
                <w:color w:val="FFFFFF"/>
                <w:sz w:val="18"/>
                <w:lang w:val="zh-TW" w:eastAsia="zh-TW"/>
              </w:rPr>
              <w:t>最主要依據</w:t>
            </w:r>
          </w:p>
        </w:tc>
      </w:tr>
      <w:tr w:rsidR="00CD2042" w:rsidRPr="008B3580" w14:paraId="7CB545A1" w14:textId="77777777">
        <w:trPr>
          <w:jc w:val="center"/>
        </w:trPr>
        <w:tc>
          <w:tcPr>
            <w:tcW w:w="3120" w:type="dxa"/>
          </w:tcPr>
          <w:p w14:paraId="46027489" w14:textId="77777777" w:rsidR="00CD2042" w:rsidRPr="008B3580" w:rsidRDefault="00000000">
            <w:pPr>
              <w:keepLines/>
              <w:spacing w:after="0" w:line="247" w:lineRule="auto"/>
              <w:rPr>
                <w:rFonts w:ascii="細明體" w:eastAsia="細明體" w:hAnsi="細明體" w:cstheme="majorHAnsi"/>
                <w:b/>
              </w:rPr>
            </w:pPr>
            <w:r w:rsidRPr="008B3580">
              <w:rPr>
                <w:rFonts w:ascii="細明體" w:eastAsia="細明體" w:hAnsi="細明體" w:cs="新細明體" w:hint="eastAsia"/>
                <w:b/>
                <w:color w:val="183B62"/>
                <w:sz w:val="18"/>
                <w:lang w:val="zh-TW" w:eastAsia="zh-TW"/>
              </w:rPr>
              <w:t>日本取證</w:t>
            </w:r>
          </w:p>
        </w:tc>
        <w:tc>
          <w:tcPr>
            <w:tcW w:w="3120" w:type="dxa"/>
          </w:tcPr>
          <w:p w14:paraId="673D79C5" w14:textId="77777777" w:rsidR="00CD2042" w:rsidRPr="008B3580" w:rsidRDefault="00000000">
            <w:pPr>
              <w:keepLines/>
              <w:spacing w:after="0" w:line="247" w:lineRule="auto"/>
              <w:rPr>
                <w:rFonts w:ascii="細明體" w:eastAsia="細明體" w:hAnsi="細明體" w:cstheme="majorHAnsi"/>
                <w:b/>
              </w:rPr>
            </w:pPr>
            <w:r w:rsidRPr="008B3580">
              <w:rPr>
                <w:rFonts w:ascii="細明體" w:eastAsia="細明體" w:hAnsi="細明體" w:cs="新細明體" w:hint="eastAsia"/>
                <w:b/>
                <w:color w:val="0F6B78"/>
                <w:sz w:val="18"/>
                <w:lang w:val="zh-TW" w:eastAsia="zh-TW"/>
              </w:rPr>
              <w:t>高機率</w:t>
            </w:r>
          </w:p>
        </w:tc>
        <w:tc>
          <w:tcPr>
            <w:tcW w:w="3120" w:type="dxa"/>
          </w:tcPr>
          <w:p w14:paraId="3C7557C7" w14:textId="77777777" w:rsidR="00CD2042" w:rsidRPr="008B3580" w:rsidRDefault="00000000">
            <w:pPr>
              <w:keepLines/>
              <w:spacing w:after="0" w:line="247" w:lineRule="auto"/>
              <w:rPr>
                <w:rFonts w:ascii="細明體" w:eastAsia="細明體" w:hAnsi="細明體" w:cstheme="majorHAnsi"/>
                <w:b/>
                <w:lang w:eastAsia="zh-TW"/>
              </w:rPr>
            </w:pPr>
            <w:r w:rsidRPr="008B3580">
              <w:rPr>
                <w:rFonts w:ascii="細明體" w:eastAsia="細明體" w:hAnsi="細明體" w:cstheme="majorHAnsi"/>
                <w:b/>
                <w:sz w:val="18"/>
                <w:lang w:val="zh-TW" w:eastAsia="zh-TW"/>
              </w:rPr>
              <w:t>官方指引吻合、孤兒優先審查、已正式送件、label／RWD討論已進入具體化</w:t>
            </w:r>
          </w:p>
        </w:tc>
      </w:tr>
      <w:tr w:rsidR="00CD2042" w:rsidRPr="008B3580" w14:paraId="5D2E0FDB" w14:textId="77777777">
        <w:trPr>
          <w:jc w:val="center"/>
        </w:trPr>
        <w:tc>
          <w:tcPr>
            <w:tcW w:w="3120" w:type="dxa"/>
            <w:shd w:val="clear" w:color="auto" w:fill="F2F4F7"/>
          </w:tcPr>
          <w:p w14:paraId="513D379C" w14:textId="77777777" w:rsidR="00CD2042" w:rsidRPr="008B3580" w:rsidRDefault="00000000">
            <w:pPr>
              <w:keepLines/>
              <w:spacing w:after="0" w:line="247" w:lineRule="auto"/>
              <w:rPr>
                <w:rFonts w:ascii="細明體" w:eastAsia="細明體" w:hAnsi="細明體" w:cstheme="majorHAnsi"/>
                <w:b/>
              </w:rPr>
            </w:pPr>
            <w:r w:rsidRPr="008B3580">
              <w:rPr>
                <w:rFonts w:ascii="細明體" w:eastAsia="細明體" w:hAnsi="細明體" w:cstheme="majorHAnsi"/>
                <w:b/>
                <w:color w:val="183B62"/>
                <w:sz w:val="18"/>
                <w:lang w:val="zh-TW" w:eastAsia="zh-TW"/>
              </w:rPr>
              <w:t>SARA</w:t>
            </w:r>
            <w:r w:rsidRPr="008B3580">
              <w:rPr>
                <w:rFonts w:ascii="Cambria Math" w:eastAsia="細明體" w:hAnsi="Cambria Math" w:cs="Cambria Math"/>
                <w:b/>
                <w:color w:val="183B62"/>
                <w:sz w:val="18"/>
                <w:lang w:val="zh-TW" w:eastAsia="zh-TW"/>
              </w:rPr>
              <w:t>≥</w:t>
            </w:r>
            <w:r w:rsidRPr="008B3580">
              <w:rPr>
                <w:rFonts w:ascii="細明體" w:eastAsia="細明體" w:hAnsi="細明體" w:cstheme="majorHAnsi"/>
                <w:b/>
                <w:color w:val="183B62"/>
                <w:sz w:val="18"/>
                <w:lang w:val="zh-TW" w:eastAsia="zh-TW"/>
              </w:rPr>
              <w:t>11</w:t>
            </w:r>
            <w:r w:rsidRPr="008B3580">
              <w:rPr>
                <w:rFonts w:ascii="細明體" w:eastAsia="細明體" w:hAnsi="細明體" w:cs="新細明體" w:hint="eastAsia"/>
                <w:b/>
                <w:color w:val="183B62"/>
                <w:sz w:val="18"/>
                <w:lang w:val="zh-TW" w:eastAsia="zh-TW"/>
              </w:rPr>
              <w:t>論述</w:t>
            </w:r>
          </w:p>
        </w:tc>
        <w:tc>
          <w:tcPr>
            <w:tcW w:w="3120" w:type="dxa"/>
            <w:shd w:val="clear" w:color="auto" w:fill="F2F4F7"/>
          </w:tcPr>
          <w:p w14:paraId="348B3AE8" w14:textId="77777777" w:rsidR="00CD2042" w:rsidRPr="008B3580" w:rsidRDefault="00000000">
            <w:pPr>
              <w:keepLines/>
              <w:spacing w:after="0" w:line="247" w:lineRule="auto"/>
              <w:rPr>
                <w:rFonts w:ascii="細明體" w:eastAsia="細明體" w:hAnsi="細明體" w:cstheme="majorHAnsi"/>
                <w:b/>
              </w:rPr>
            </w:pPr>
            <w:r w:rsidRPr="008B3580">
              <w:rPr>
                <w:rFonts w:ascii="細明體" w:eastAsia="細明體" w:hAnsi="細明體" w:cs="新細明體" w:hint="eastAsia"/>
                <w:b/>
                <w:color w:val="0F6B78"/>
                <w:sz w:val="18"/>
                <w:lang w:val="zh-TW" w:eastAsia="zh-TW"/>
              </w:rPr>
              <w:t>明顯強化</w:t>
            </w:r>
          </w:p>
        </w:tc>
        <w:tc>
          <w:tcPr>
            <w:tcW w:w="3120" w:type="dxa"/>
            <w:shd w:val="clear" w:color="auto" w:fill="F2F4F7"/>
          </w:tcPr>
          <w:p w14:paraId="5C5FAAF3" w14:textId="77777777" w:rsidR="00CD2042" w:rsidRPr="008B3580" w:rsidRDefault="00000000">
            <w:pPr>
              <w:keepLines/>
              <w:spacing w:after="0" w:line="247" w:lineRule="auto"/>
              <w:rPr>
                <w:rFonts w:ascii="細明體" w:eastAsia="細明體" w:hAnsi="細明體" w:cstheme="majorHAnsi"/>
                <w:b/>
              </w:rPr>
            </w:pPr>
            <w:r w:rsidRPr="008B3580">
              <w:rPr>
                <w:rFonts w:ascii="細明體" w:eastAsia="細明體" w:hAnsi="細明體" w:cstheme="majorHAnsi"/>
                <w:b/>
                <w:sz w:val="18"/>
                <w:lang w:val="zh-TW" w:eastAsia="zh-TW"/>
              </w:rPr>
              <w:t>日本指引容納</w:t>
            </w:r>
            <w:r w:rsidRPr="008B3580">
              <w:rPr>
                <w:rFonts w:ascii="細明體" w:eastAsia="細明體" w:hAnsi="細明體" w:cstheme="majorHAnsi"/>
                <w:b/>
                <w:sz w:val="18"/>
                <w:lang w:eastAsia="zh-TW"/>
              </w:rPr>
              <w:t>post hoc＋</w:t>
            </w:r>
            <w:r w:rsidRPr="008B3580">
              <w:rPr>
                <w:rFonts w:ascii="細明體" w:eastAsia="細明體" w:hAnsi="細明體" w:cstheme="majorHAnsi"/>
                <w:b/>
                <w:sz w:val="18"/>
                <w:lang w:val="zh-TW" w:eastAsia="zh-TW"/>
              </w:rPr>
              <w:t>自然史</w:t>
            </w:r>
            <w:r w:rsidRPr="008B3580">
              <w:rPr>
                <w:rFonts w:ascii="細明體" w:eastAsia="細明體" w:hAnsi="細明體" w:cstheme="majorHAnsi"/>
                <w:b/>
                <w:sz w:val="18"/>
                <w:lang w:eastAsia="zh-TW"/>
              </w:rPr>
              <w:t>／RWD；</w:t>
            </w:r>
            <w:r w:rsidRPr="008B3580">
              <w:rPr>
                <w:rFonts w:ascii="細明體" w:eastAsia="細明體" w:hAnsi="細明體" w:cstheme="majorHAnsi"/>
                <w:b/>
                <w:sz w:val="18"/>
                <w:lang w:val="zh-TW" w:eastAsia="zh-TW"/>
              </w:rPr>
              <w:t>台日高基線訊號方向一致</w:t>
            </w:r>
          </w:p>
        </w:tc>
      </w:tr>
      <w:tr w:rsidR="00CD2042" w:rsidRPr="008B3580" w14:paraId="37CABD29" w14:textId="77777777">
        <w:trPr>
          <w:jc w:val="center"/>
        </w:trPr>
        <w:tc>
          <w:tcPr>
            <w:tcW w:w="3120" w:type="dxa"/>
          </w:tcPr>
          <w:p w14:paraId="4B232DC2" w14:textId="77777777" w:rsidR="00CD2042" w:rsidRPr="008B3580" w:rsidRDefault="00000000">
            <w:pPr>
              <w:keepLines/>
              <w:spacing w:after="0" w:line="247" w:lineRule="auto"/>
              <w:rPr>
                <w:rFonts w:ascii="細明體" w:eastAsia="細明體" w:hAnsi="細明體" w:cstheme="majorHAnsi"/>
                <w:b/>
              </w:rPr>
            </w:pPr>
            <w:r w:rsidRPr="008B3580">
              <w:rPr>
                <w:rFonts w:ascii="細明體" w:eastAsia="細明體" w:hAnsi="細明體" w:cs="新細明體" w:hint="eastAsia"/>
                <w:b/>
                <w:color w:val="183B62"/>
                <w:sz w:val="18"/>
                <w:lang w:val="zh-TW" w:eastAsia="zh-TW"/>
              </w:rPr>
              <w:t>美國二期執行</w:t>
            </w:r>
          </w:p>
        </w:tc>
        <w:tc>
          <w:tcPr>
            <w:tcW w:w="3120" w:type="dxa"/>
          </w:tcPr>
          <w:p w14:paraId="1F9F4638" w14:textId="77777777" w:rsidR="00CD2042" w:rsidRPr="008B3580" w:rsidRDefault="00000000">
            <w:pPr>
              <w:keepLines/>
              <w:spacing w:after="0" w:line="247" w:lineRule="auto"/>
              <w:rPr>
                <w:rFonts w:ascii="細明體" w:eastAsia="細明體" w:hAnsi="細明體" w:cstheme="majorHAnsi"/>
                <w:b/>
              </w:rPr>
            </w:pPr>
            <w:r w:rsidRPr="008B3580">
              <w:rPr>
                <w:rFonts w:ascii="細明體" w:eastAsia="細明體" w:hAnsi="細明體" w:cs="新細明體" w:hint="eastAsia"/>
                <w:b/>
                <w:color w:val="0F6B78"/>
                <w:sz w:val="18"/>
                <w:lang w:val="zh-TW" w:eastAsia="zh-TW"/>
              </w:rPr>
              <w:t>高品質配置</w:t>
            </w:r>
          </w:p>
        </w:tc>
        <w:tc>
          <w:tcPr>
            <w:tcW w:w="3120" w:type="dxa"/>
          </w:tcPr>
          <w:p w14:paraId="3C55848C" w14:textId="77777777" w:rsidR="00CD2042" w:rsidRPr="008B3580" w:rsidRDefault="00000000">
            <w:pPr>
              <w:keepLines/>
              <w:spacing w:after="0" w:line="247" w:lineRule="auto"/>
              <w:rPr>
                <w:rFonts w:ascii="細明體" w:eastAsia="細明體" w:hAnsi="細明體" w:cstheme="majorHAnsi"/>
                <w:b/>
              </w:rPr>
            </w:pPr>
            <w:r w:rsidRPr="008B3580">
              <w:rPr>
                <w:rFonts w:ascii="細明體" w:eastAsia="細明體" w:hAnsi="細明體" w:cstheme="majorHAnsi"/>
                <w:b/>
                <w:sz w:val="18"/>
                <w:lang w:eastAsia="zh-TW"/>
              </w:rPr>
              <w:t>UCLA／USF</w:t>
            </w:r>
            <w:r w:rsidRPr="008B3580">
              <w:rPr>
                <w:rFonts w:ascii="細明體" w:eastAsia="細明體" w:hAnsi="細明體" w:cstheme="majorHAnsi"/>
                <w:b/>
                <w:sz w:val="18"/>
                <w:lang w:val="zh-TW" w:eastAsia="zh-TW"/>
              </w:rPr>
              <w:t>兩大</w:t>
            </w:r>
            <w:r w:rsidRPr="008B3580">
              <w:rPr>
                <w:rFonts w:ascii="細明體" w:eastAsia="細明體" w:hAnsi="細明體" w:cstheme="majorHAnsi"/>
                <w:b/>
                <w:sz w:val="18"/>
                <w:lang w:eastAsia="zh-TW"/>
              </w:rPr>
              <w:t>SCA</w:t>
            </w:r>
            <w:r w:rsidRPr="008B3580">
              <w:rPr>
                <w:rFonts w:ascii="細明體" w:eastAsia="細明體" w:hAnsi="細明體" w:cstheme="majorHAnsi"/>
                <w:b/>
                <w:sz w:val="18"/>
                <w:lang w:val="zh-TW" w:eastAsia="zh-TW"/>
              </w:rPr>
              <w:t>中心</w:t>
            </w:r>
            <w:r w:rsidRPr="008B3580">
              <w:rPr>
                <w:rFonts w:ascii="細明體" w:eastAsia="細明體" w:hAnsi="細明體" w:cstheme="majorHAnsi"/>
                <w:b/>
                <w:sz w:val="18"/>
                <w:lang w:eastAsia="zh-TW"/>
              </w:rPr>
              <w:t>＋Perlman／</w:t>
            </w:r>
            <w:proofErr w:type="spellStart"/>
            <w:r w:rsidRPr="008B3580">
              <w:rPr>
                <w:rFonts w:ascii="細明體" w:eastAsia="細明體" w:hAnsi="細明體" w:cstheme="majorHAnsi"/>
                <w:b/>
                <w:sz w:val="18"/>
                <w:lang w:eastAsia="zh-TW"/>
              </w:rPr>
              <w:t>Zesiewicz</w:t>
            </w:r>
            <w:proofErr w:type="spellEnd"/>
            <w:r w:rsidRPr="008B3580">
              <w:rPr>
                <w:rFonts w:ascii="細明體" w:eastAsia="細明體" w:hAnsi="細明體" w:cstheme="majorHAnsi"/>
                <w:b/>
                <w:sz w:val="18"/>
                <w:lang w:eastAsia="zh-TW"/>
              </w:rPr>
              <w:t>＋Gunter</w:t>
            </w:r>
          </w:p>
        </w:tc>
      </w:tr>
      <w:tr w:rsidR="00CD2042" w:rsidRPr="008B3580" w14:paraId="7EC37EE0" w14:textId="77777777">
        <w:trPr>
          <w:jc w:val="center"/>
        </w:trPr>
        <w:tc>
          <w:tcPr>
            <w:tcW w:w="3120" w:type="dxa"/>
            <w:shd w:val="clear" w:color="auto" w:fill="F2F4F7"/>
          </w:tcPr>
          <w:p w14:paraId="77C7A09D" w14:textId="77777777" w:rsidR="00CD2042" w:rsidRPr="008B3580" w:rsidRDefault="00000000">
            <w:pPr>
              <w:keepLines/>
              <w:spacing w:after="0" w:line="247" w:lineRule="auto"/>
              <w:rPr>
                <w:rFonts w:ascii="細明體" w:eastAsia="細明體" w:hAnsi="細明體" w:cstheme="majorHAnsi"/>
                <w:b/>
              </w:rPr>
            </w:pPr>
            <w:r w:rsidRPr="008B3580">
              <w:rPr>
                <w:rFonts w:ascii="細明體" w:eastAsia="細明體" w:hAnsi="細明體" w:cs="新細明體" w:hint="eastAsia"/>
                <w:b/>
                <w:color w:val="183B62"/>
                <w:sz w:val="18"/>
                <w:lang w:val="zh-TW" w:eastAsia="zh-TW"/>
              </w:rPr>
              <w:t>公司整體評價</w:t>
            </w:r>
          </w:p>
        </w:tc>
        <w:tc>
          <w:tcPr>
            <w:tcW w:w="3120" w:type="dxa"/>
            <w:shd w:val="clear" w:color="auto" w:fill="F2F4F7"/>
          </w:tcPr>
          <w:p w14:paraId="40699541" w14:textId="77777777" w:rsidR="00CD2042" w:rsidRPr="008B3580" w:rsidRDefault="00000000">
            <w:pPr>
              <w:keepLines/>
              <w:spacing w:after="0" w:line="247" w:lineRule="auto"/>
              <w:rPr>
                <w:rFonts w:ascii="細明體" w:eastAsia="細明體" w:hAnsi="細明體" w:cstheme="majorHAnsi"/>
                <w:b/>
              </w:rPr>
            </w:pPr>
            <w:r w:rsidRPr="008B3580">
              <w:rPr>
                <w:rFonts w:ascii="細明體" w:eastAsia="細明體" w:hAnsi="細明體" w:cs="新細明體" w:hint="eastAsia"/>
                <w:b/>
                <w:color w:val="0F6B78"/>
                <w:sz w:val="18"/>
                <w:lang w:val="zh-TW" w:eastAsia="zh-TW"/>
              </w:rPr>
              <w:t>國際化升級</w:t>
            </w:r>
          </w:p>
        </w:tc>
        <w:tc>
          <w:tcPr>
            <w:tcW w:w="3120" w:type="dxa"/>
            <w:shd w:val="clear" w:color="auto" w:fill="F2F4F7"/>
          </w:tcPr>
          <w:p w14:paraId="2D8FBFF2" w14:textId="77777777" w:rsidR="00CD2042" w:rsidRPr="008B3580" w:rsidRDefault="00000000">
            <w:pPr>
              <w:keepLines/>
              <w:spacing w:after="0" w:line="247" w:lineRule="auto"/>
              <w:rPr>
                <w:rFonts w:ascii="細明體" w:eastAsia="細明體" w:hAnsi="細明體" w:cstheme="majorHAnsi"/>
                <w:b/>
                <w:lang w:eastAsia="zh-TW"/>
              </w:rPr>
            </w:pPr>
            <w:r w:rsidRPr="008B3580">
              <w:rPr>
                <w:rFonts w:ascii="細明體" w:eastAsia="細明體" w:hAnsi="細明體" w:cstheme="majorHAnsi"/>
                <w:b/>
                <w:sz w:val="18"/>
                <w:lang w:val="zh-TW" w:eastAsia="zh-TW"/>
              </w:rPr>
              <w:t>日本臨床、SCA自然史、FDA細胞治療法規與商業化能力互補</w:t>
            </w:r>
          </w:p>
        </w:tc>
      </w:tr>
    </w:tbl>
    <w:p w14:paraId="2CE76105" w14:textId="77777777" w:rsidR="00CD2042" w:rsidRPr="008B3580" w:rsidRDefault="00000000">
      <w:pPr>
        <w:pStyle w:val="2"/>
        <w:pageBreakBefore/>
        <w:rPr>
          <w:rFonts w:ascii="細明體" w:eastAsia="細明體" w:hAnsi="細明體" w:cstheme="majorHAnsi"/>
          <w:bCs w:val="0"/>
          <w:lang w:eastAsia="zh-TW"/>
        </w:rPr>
      </w:pPr>
      <w:r w:rsidRPr="008B3580">
        <w:rPr>
          <w:rFonts w:ascii="細明體" w:eastAsia="細明體" w:hAnsi="細明體" w:cs="新細明體" w:hint="eastAsia"/>
          <w:bCs w:val="0"/>
          <w:lang w:val="zh-TW" w:eastAsia="zh-TW"/>
        </w:rPr>
        <w:lastRenderedPageBreak/>
        <w:t>主要資料來源</w:t>
      </w:r>
    </w:p>
    <w:p w14:paraId="4381CA38" w14:textId="77777777" w:rsidR="00CD2042" w:rsidRPr="008B3580" w:rsidRDefault="00000000">
      <w:pPr>
        <w:spacing w:after="40" w:line="240" w:lineRule="auto"/>
        <w:ind w:left="259" w:hanging="259"/>
        <w:rPr>
          <w:rFonts w:ascii="細明體" w:eastAsia="細明體" w:hAnsi="細明體" w:cstheme="majorHAnsi"/>
          <w:b/>
          <w:lang w:eastAsia="zh-TW"/>
        </w:rPr>
      </w:pPr>
      <w:r w:rsidRPr="008B3580">
        <w:rPr>
          <w:rFonts w:ascii="細明體" w:eastAsia="細明體" w:hAnsi="細明體" w:cstheme="majorHAnsi"/>
          <w:b/>
          <w:color w:val="667085"/>
          <w:sz w:val="17"/>
          <w:lang w:val="zh-TW" w:eastAsia="zh-TW"/>
        </w:rPr>
        <w:t>1. 厚生勞動省（2024-03-29）｜再生醫療等產品條件及期限付承認與後續有效性評估計畫指引</w:t>
      </w:r>
    </w:p>
    <w:p w14:paraId="6537922B" w14:textId="77777777" w:rsidR="00CD2042" w:rsidRPr="008B3580" w:rsidRDefault="00000000">
      <w:pPr>
        <w:spacing w:after="40" w:line="240" w:lineRule="auto"/>
        <w:ind w:left="259" w:hanging="259"/>
        <w:rPr>
          <w:rFonts w:ascii="細明體" w:eastAsia="細明體" w:hAnsi="細明體" w:cstheme="majorHAnsi"/>
          <w:b/>
          <w:lang w:eastAsia="zh-TW"/>
        </w:rPr>
      </w:pPr>
      <w:r w:rsidRPr="008B3580">
        <w:rPr>
          <w:rFonts w:ascii="細明體" w:eastAsia="細明體" w:hAnsi="細明體" w:cstheme="majorHAnsi"/>
          <w:b/>
          <w:color w:val="667085"/>
          <w:sz w:val="17"/>
          <w:lang w:val="zh-TW" w:eastAsia="zh-TW"/>
        </w:rPr>
        <w:t>2. 厚生勞動省（2024-03-29）｜人類MSC加工產品條件及期限付承認與後續有效性評估指標</w:t>
      </w:r>
    </w:p>
    <w:p w14:paraId="1FEF74EF" w14:textId="77777777" w:rsidR="00CD2042" w:rsidRPr="008B3580" w:rsidRDefault="00000000">
      <w:pPr>
        <w:spacing w:after="40" w:line="240" w:lineRule="auto"/>
        <w:ind w:left="259" w:hanging="259"/>
        <w:rPr>
          <w:rFonts w:ascii="細明體" w:eastAsia="細明體" w:hAnsi="細明體" w:cstheme="majorHAnsi"/>
          <w:b/>
        </w:rPr>
      </w:pPr>
      <w:r w:rsidRPr="008B3580">
        <w:rPr>
          <w:rFonts w:ascii="細明體" w:eastAsia="細明體" w:hAnsi="細明體" w:cstheme="majorHAnsi"/>
          <w:b/>
          <w:color w:val="667085"/>
          <w:sz w:val="17"/>
          <w:lang w:eastAsia="zh-TW"/>
        </w:rPr>
        <w:t xml:space="preserve">3. </w:t>
      </w:r>
      <w:hyperlink r:id="rId8">
        <w:r w:rsidRPr="008B3580">
          <w:rPr>
            <w:rFonts w:ascii="細明體" w:eastAsia="細明體" w:hAnsi="細明體" w:cstheme="majorHAnsi"/>
            <w:b/>
            <w:color w:val="2E74B5"/>
            <w:u w:val="single"/>
          </w:rPr>
          <w:t>REPROCELL｜日本二期臨床結果與SARA</w:t>
        </w:r>
        <w:r w:rsidRPr="008B3580">
          <w:rPr>
            <w:rFonts w:ascii="Cambria Math" w:eastAsia="細明體" w:hAnsi="Cambria Math" w:cs="Cambria Math"/>
            <w:b/>
            <w:color w:val="2E74B5"/>
            <w:u w:val="single"/>
          </w:rPr>
          <w:t>≥</w:t>
        </w:r>
        <w:r w:rsidRPr="008B3580">
          <w:rPr>
            <w:rFonts w:ascii="細明體" w:eastAsia="細明體" w:hAnsi="細明體" w:cstheme="majorHAnsi"/>
            <w:b/>
            <w:color w:val="2E74B5"/>
            <w:u w:val="single"/>
          </w:rPr>
          <w:t>11次族群分析</w:t>
        </w:r>
      </w:hyperlink>
    </w:p>
    <w:p w14:paraId="4065AB39" w14:textId="77777777" w:rsidR="00CD2042" w:rsidRPr="008B3580" w:rsidRDefault="00000000">
      <w:pPr>
        <w:spacing w:after="40" w:line="240" w:lineRule="auto"/>
        <w:ind w:left="259" w:hanging="259"/>
        <w:rPr>
          <w:rFonts w:ascii="細明體" w:eastAsia="細明體" w:hAnsi="細明體" w:cstheme="majorHAnsi"/>
          <w:b/>
        </w:rPr>
      </w:pPr>
      <w:r w:rsidRPr="008B3580">
        <w:rPr>
          <w:rFonts w:ascii="細明體" w:eastAsia="細明體" w:hAnsi="細明體" w:cstheme="majorHAnsi"/>
          <w:b/>
          <w:color w:val="667085"/>
          <w:sz w:val="17"/>
          <w:lang w:eastAsia="zh-TW"/>
        </w:rPr>
        <w:t xml:space="preserve">4. </w:t>
      </w:r>
      <w:hyperlink r:id="rId9">
        <w:r w:rsidRPr="008B3580">
          <w:rPr>
            <w:rFonts w:ascii="細明體" w:eastAsia="細明體" w:hAnsi="細明體" w:cstheme="majorHAnsi"/>
            <w:b/>
            <w:color w:val="2E74B5"/>
            <w:u w:val="single"/>
          </w:rPr>
          <w:t>REPROCELL｜2026-06-24日本製造銷售承認申請</w:t>
        </w:r>
      </w:hyperlink>
    </w:p>
    <w:p w14:paraId="17667E9B" w14:textId="77777777" w:rsidR="00CD2042" w:rsidRPr="008B3580" w:rsidRDefault="00000000">
      <w:pPr>
        <w:spacing w:after="40" w:line="240" w:lineRule="auto"/>
        <w:ind w:left="259" w:hanging="259"/>
        <w:rPr>
          <w:rFonts w:ascii="細明體" w:eastAsia="細明體" w:hAnsi="細明體" w:cstheme="majorHAnsi"/>
          <w:b/>
        </w:rPr>
      </w:pPr>
      <w:r w:rsidRPr="008B3580">
        <w:rPr>
          <w:rFonts w:ascii="細明體" w:eastAsia="細明體" w:hAnsi="細明體" w:cstheme="majorHAnsi"/>
          <w:b/>
          <w:color w:val="667085"/>
          <w:sz w:val="17"/>
          <w:lang w:eastAsia="zh-TW"/>
        </w:rPr>
        <w:t xml:space="preserve">5. </w:t>
      </w:r>
      <w:hyperlink r:id="rId10">
        <w:r w:rsidRPr="008B3580">
          <w:rPr>
            <w:rFonts w:ascii="細明體" w:eastAsia="細明體" w:hAnsi="細明體" w:cstheme="majorHAnsi"/>
            <w:b/>
            <w:color w:val="2E74B5"/>
            <w:u w:val="single"/>
          </w:rPr>
          <w:t>Nagoya University｜勝野雅央與204人、14院SBMA雙盲試驗</w:t>
        </w:r>
      </w:hyperlink>
    </w:p>
    <w:p w14:paraId="5213AC11" w14:textId="77777777" w:rsidR="00CD2042" w:rsidRPr="008B3580" w:rsidRDefault="00000000">
      <w:pPr>
        <w:spacing w:after="40" w:line="240" w:lineRule="auto"/>
        <w:ind w:left="259" w:hanging="259"/>
        <w:rPr>
          <w:rFonts w:ascii="細明體" w:eastAsia="細明體" w:hAnsi="細明體" w:cstheme="majorHAnsi"/>
          <w:b/>
        </w:rPr>
      </w:pPr>
      <w:r w:rsidRPr="008B3580">
        <w:rPr>
          <w:rFonts w:ascii="細明體" w:eastAsia="細明體" w:hAnsi="細明體" w:cstheme="majorHAnsi"/>
          <w:b/>
          <w:color w:val="667085"/>
          <w:sz w:val="17"/>
          <w:lang w:eastAsia="zh-TW"/>
        </w:rPr>
        <w:t xml:space="preserve">6. </w:t>
      </w:r>
      <w:hyperlink r:id="rId11">
        <w:r w:rsidRPr="008B3580">
          <w:rPr>
            <w:rFonts w:ascii="細明體" w:eastAsia="細明體" w:hAnsi="細明體" w:cstheme="majorHAnsi"/>
            <w:b/>
            <w:color w:val="2E74B5"/>
            <w:u w:val="single"/>
          </w:rPr>
          <w:t>UCLA Health｜Susan Perlman與UCLA Ataxia Clinic</w:t>
        </w:r>
      </w:hyperlink>
    </w:p>
    <w:p w14:paraId="57BCE503" w14:textId="77777777" w:rsidR="00CD2042" w:rsidRPr="008B3580" w:rsidRDefault="00000000">
      <w:pPr>
        <w:spacing w:after="40" w:line="240" w:lineRule="auto"/>
        <w:ind w:left="259" w:hanging="259"/>
        <w:rPr>
          <w:rFonts w:ascii="細明體" w:eastAsia="細明體" w:hAnsi="細明體" w:cstheme="majorHAnsi"/>
          <w:b/>
        </w:rPr>
      </w:pPr>
      <w:r w:rsidRPr="008B3580">
        <w:rPr>
          <w:rFonts w:ascii="細明體" w:eastAsia="細明體" w:hAnsi="細明體" w:cstheme="majorHAnsi"/>
          <w:b/>
          <w:color w:val="667085"/>
          <w:sz w:val="17"/>
          <w:lang w:eastAsia="zh-TW"/>
        </w:rPr>
        <w:t xml:space="preserve">7. </w:t>
      </w:r>
      <w:hyperlink r:id="rId12">
        <w:r w:rsidRPr="008B3580">
          <w:rPr>
            <w:rFonts w:ascii="細明體" w:eastAsia="細明體" w:hAnsi="細明體" w:cstheme="majorHAnsi"/>
            <w:b/>
            <w:color w:val="2E74B5"/>
            <w:u w:val="single"/>
          </w:rPr>
          <w:t>USF Health｜Theresa Zesiewicz與USF Ataxia Research Center</w:t>
        </w:r>
      </w:hyperlink>
    </w:p>
    <w:p w14:paraId="04AA7FF5" w14:textId="77777777" w:rsidR="00CD2042" w:rsidRPr="008B3580" w:rsidRDefault="00000000">
      <w:pPr>
        <w:spacing w:after="40" w:line="240" w:lineRule="auto"/>
        <w:ind w:left="259" w:hanging="259"/>
        <w:rPr>
          <w:rFonts w:ascii="細明體" w:eastAsia="細明體" w:hAnsi="細明體" w:cstheme="majorHAnsi"/>
          <w:b/>
        </w:rPr>
      </w:pPr>
      <w:r w:rsidRPr="008B3580">
        <w:rPr>
          <w:rFonts w:ascii="細明體" w:eastAsia="細明體" w:hAnsi="細明體" w:cstheme="majorHAnsi"/>
          <w:b/>
          <w:color w:val="667085"/>
          <w:sz w:val="17"/>
          <w:lang w:eastAsia="zh-TW"/>
        </w:rPr>
        <w:t xml:space="preserve">8. </w:t>
      </w:r>
      <w:hyperlink r:id="rId13">
        <w:r w:rsidRPr="008B3580">
          <w:rPr>
            <w:rFonts w:ascii="細明體" w:eastAsia="細明體" w:hAnsi="細明體" w:cstheme="majorHAnsi"/>
            <w:b/>
            <w:color w:val="2E74B5"/>
            <w:u w:val="single"/>
          </w:rPr>
          <w:t>Ashizawa et al.｜345人、12中心SCA1/2/3/6自然史研究</w:t>
        </w:r>
      </w:hyperlink>
    </w:p>
    <w:p w14:paraId="1BFB81A5" w14:textId="77777777" w:rsidR="00CD2042" w:rsidRPr="008B3580" w:rsidRDefault="00000000">
      <w:pPr>
        <w:spacing w:after="40" w:line="240" w:lineRule="auto"/>
        <w:ind w:left="259" w:hanging="259"/>
        <w:rPr>
          <w:rFonts w:ascii="細明體" w:eastAsia="細明體" w:hAnsi="細明體" w:cstheme="majorHAnsi"/>
          <w:b/>
        </w:rPr>
      </w:pPr>
      <w:r w:rsidRPr="008B3580">
        <w:rPr>
          <w:rFonts w:ascii="細明體" w:eastAsia="細明體" w:hAnsi="細明體" w:cstheme="majorHAnsi"/>
          <w:b/>
          <w:color w:val="667085"/>
          <w:sz w:val="17"/>
          <w:lang w:eastAsia="zh-TW"/>
        </w:rPr>
        <w:t xml:space="preserve">9. </w:t>
      </w:r>
      <w:hyperlink r:id="rId14">
        <w:r w:rsidRPr="008B3580">
          <w:rPr>
            <w:rFonts w:ascii="細明體" w:eastAsia="細明體" w:hAnsi="細明體" w:cstheme="majorHAnsi"/>
            <w:b/>
            <w:color w:val="2E74B5"/>
            <w:u w:val="single"/>
          </w:rPr>
          <w:t>Scendea｜Kurt Gunter臨床、細胞治療與法規背景</w:t>
        </w:r>
      </w:hyperlink>
    </w:p>
    <w:p w14:paraId="1AA94DCB" w14:textId="77777777" w:rsidR="00CD2042" w:rsidRPr="008B3580" w:rsidRDefault="00000000">
      <w:pPr>
        <w:spacing w:after="40" w:line="240" w:lineRule="auto"/>
        <w:ind w:left="259" w:hanging="259"/>
        <w:rPr>
          <w:rFonts w:ascii="細明體" w:eastAsia="細明體" w:hAnsi="細明體" w:cstheme="majorHAnsi"/>
          <w:b/>
        </w:rPr>
      </w:pPr>
      <w:r w:rsidRPr="008B3580">
        <w:rPr>
          <w:rFonts w:ascii="細明體" w:eastAsia="細明體" w:hAnsi="細明體" w:cstheme="majorHAnsi"/>
          <w:b/>
          <w:color w:val="667085"/>
          <w:sz w:val="17"/>
          <w:lang w:val="zh-TW" w:eastAsia="zh-TW"/>
        </w:rPr>
        <w:t xml:space="preserve">10. </w:t>
      </w:r>
      <w:hyperlink r:id="rId15">
        <w:r w:rsidRPr="008B3580">
          <w:rPr>
            <w:rFonts w:ascii="細明體" w:eastAsia="細明體" w:hAnsi="細明體" w:cstheme="majorHAnsi"/>
            <w:b/>
            <w:color w:val="2E74B5"/>
            <w:u w:val="single"/>
          </w:rPr>
          <w:t>ClinicalTrials.gov｜NCT06397274 Stemchymal美國二期</w:t>
        </w:r>
      </w:hyperlink>
    </w:p>
    <w:sectPr w:rsidR="00CD2042" w:rsidRPr="008B3580" w:rsidSect="00034616">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CB5FD" w14:textId="77777777" w:rsidR="001C5C86" w:rsidRDefault="001C5C86">
      <w:pPr>
        <w:spacing w:after="0" w:line="240" w:lineRule="auto"/>
      </w:pPr>
      <w:r>
        <w:separator/>
      </w:r>
    </w:p>
  </w:endnote>
  <w:endnote w:type="continuationSeparator" w:id="0">
    <w:p w14:paraId="1C730AE8" w14:textId="77777777" w:rsidR="001C5C86" w:rsidRDefault="001C5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TC Thin">
    <w:panose1 w:val="020B0200000000000000"/>
    <w:charset w:val="88"/>
    <w:family w:val="swiss"/>
    <w:pitch w:val="variable"/>
    <w:sig w:usb0="20000287" w:usb1="2ADF3C10" w:usb2="00000016" w:usb3="00000000" w:csb0="00120107"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3D33" w14:textId="77777777" w:rsidR="00CD2042" w:rsidRDefault="00000000">
    <w:pPr>
      <w:pStyle w:val="a6"/>
      <w:jc w:val="right"/>
      <w:rPr>
        <w:lang w:eastAsia="zh-TW"/>
      </w:rPr>
    </w:pPr>
    <w:r>
      <w:rPr>
        <w:rFonts w:cs="Noto Sans TC Thin"/>
        <w:color w:val="667085"/>
        <w:sz w:val="17"/>
        <w:lang w:val="zh-TW" w:eastAsia="zh-TW"/>
      </w:rPr>
      <w:t>內部投資研究交流　｜　2026-07-25</w:t>
    </w:r>
    <w:r>
      <w:rPr>
        <w:rFonts w:cs="Noto Sans TC Thin"/>
        <w:color w:val="667085"/>
        <w:sz w:val="18"/>
        <w:lang w:val="zh-TW" w:eastAsia="zh-TW"/>
      </w:rPr>
      <w:t xml:space="preserve">　　第 </w:t>
    </w:r>
    <w:r>
      <w:rPr>
        <w:rFonts w:cs="Noto Sans TC Thin"/>
        <w:color w:val="667085"/>
        <w:sz w:val="18"/>
        <w:lang w:val="zh-TW" w:eastAsia="zh-TW"/>
      </w:rPr>
      <w:fldChar w:fldCharType="begin"/>
    </w:r>
    <w:r>
      <w:rPr>
        <w:rFonts w:cs="Noto Sans TC Thin"/>
        <w:color w:val="667085"/>
        <w:sz w:val="18"/>
        <w:lang w:val="zh-TW" w:eastAsia="zh-TW"/>
      </w:rPr>
      <w:instrText xml:space="preserve"> PAGE </w:instrText>
    </w:r>
    <w:r w:rsidR="007A4539">
      <w:rPr>
        <w:rFonts w:cs="Noto Sans TC Thin"/>
        <w:color w:val="667085"/>
        <w:sz w:val="18"/>
        <w:lang w:val="zh-TW" w:eastAsia="zh-TW"/>
      </w:rPr>
      <w:fldChar w:fldCharType="separate"/>
    </w:r>
    <w:r w:rsidR="007A4539">
      <w:rPr>
        <w:rFonts w:cs="Noto Sans TC Thin"/>
        <w:noProof/>
        <w:color w:val="667085"/>
        <w:sz w:val="18"/>
        <w:lang w:val="zh-TW" w:eastAsia="zh-TW"/>
      </w:rPr>
      <w:t>1</w:t>
    </w:r>
    <w:r>
      <w:rPr>
        <w:rFonts w:cs="Noto Sans TC Thin"/>
        <w:color w:val="667085"/>
        <w:sz w:val="18"/>
        <w:lang w:val="zh-TW" w:eastAsia="zh-TW"/>
      </w:rPr>
      <w:fldChar w:fldCharType="end"/>
    </w:r>
    <w:r>
      <w:rPr>
        <w:rFonts w:cs="Noto Sans TC Thin"/>
        <w:color w:val="667085"/>
        <w:sz w:val="18"/>
        <w:lang w:val="zh-TW" w:eastAsia="zh-TW"/>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45B2C" w14:textId="77777777" w:rsidR="001C5C86" w:rsidRDefault="001C5C86">
      <w:pPr>
        <w:spacing w:after="0" w:line="240" w:lineRule="auto"/>
      </w:pPr>
      <w:r>
        <w:separator/>
      </w:r>
    </w:p>
  </w:footnote>
  <w:footnote w:type="continuationSeparator" w:id="0">
    <w:p w14:paraId="04790725" w14:textId="77777777" w:rsidR="001C5C86" w:rsidRDefault="001C5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60D9" w14:textId="77777777" w:rsidR="00CD2042" w:rsidRDefault="00000000">
    <w:pPr>
      <w:pStyle w:val="a4"/>
      <w:pBdr>
        <w:bottom w:val="single" w:sz="6" w:space="3" w:color="D0D5DD"/>
      </w:pBdr>
    </w:pPr>
    <w:r>
      <w:rPr>
        <w:rFonts w:cs="Noto Sans TC Thin"/>
        <w:b/>
        <w:color w:val="667085"/>
        <w:sz w:val="17"/>
        <w:lang w:val="zh-TW" w:eastAsia="zh-TW"/>
      </w:rPr>
      <w:t>STEMCHYMAL 研究摘要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20E10E4"/>
    <w:multiLevelType w:val="singleLevel"/>
    <w:tmpl w:val="655046AC"/>
    <w:lvl w:ilvl="0">
      <w:start w:val="1"/>
      <w:numFmt w:val="bullet"/>
      <w:pStyle w:val="a"/>
      <w:lvlText w:val="•"/>
      <w:lvlJc w:val="left"/>
      <w:pPr>
        <w:tabs>
          <w:tab w:val="num" w:pos="720"/>
        </w:tabs>
        <w:ind w:left="720" w:hanging="360"/>
      </w:pPr>
      <w:rPr>
        <w:rFonts w:ascii="Noto Sans TC Thin" w:hAnsi="Noto Sans TC Thin"/>
        <w:color w:val="0F6B78"/>
      </w:rPr>
    </w:lvl>
  </w:abstractNum>
  <w:num w:numId="1" w16cid:durableId="706561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C86"/>
    <w:rsid w:val="0029639D"/>
    <w:rsid w:val="002A7DB2"/>
    <w:rsid w:val="00326F90"/>
    <w:rsid w:val="005B4AE7"/>
    <w:rsid w:val="007A4539"/>
    <w:rsid w:val="008B3580"/>
    <w:rsid w:val="00AA1D8D"/>
    <w:rsid w:val="00B47730"/>
    <w:rsid w:val="00CB0664"/>
    <w:rsid w:val="00CD20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72CCE0"/>
  <w14:defaultImageDpi w14:val="300"/>
  <w15:docId w15:val="{A2D9795F-58C3-4AC6-AA3E-908159062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264" w:lineRule="auto"/>
    </w:pPr>
    <w:rPr>
      <w:rFonts w:ascii="Noto Sans TC Thin" w:eastAsia="Noto Sans TC Thin" w:hAnsi="Noto Sans TC Thin"/>
      <w:color w:val="243447"/>
    </w:rPr>
  </w:style>
  <w:style w:type="paragraph" w:styleId="1">
    <w:name w:val="heading 1"/>
    <w:basedOn w:val="a0"/>
    <w:next w:val="a0"/>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outlineLvl w:val="2"/>
    </w:pPr>
    <w:rPr>
      <w:rFonts w:asciiTheme="majorHAnsi" w:eastAsiaTheme="majorEastAsia" w:hAnsiTheme="majorHAnsi" w:cstheme="majorBidi"/>
      <w:b/>
      <w:bCs/>
      <w:color w:val="183B62"/>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頁首 字元"/>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頁尾 字元"/>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標題 1 字元"/>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標題 2 字元"/>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標題 3 字元"/>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標題 字元"/>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標題 字元"/>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字元"/>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本文 2 字元"/>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本文 3 字元"/>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文 字元"/>
    <w:basedOn w:val="a1"/>
    <w:link w:val="af5"/>
    <w:uiPriority w:val="29"/>
    <w:rsid w:val="00FC693F"/>
    <w:rPr>
      <w:i/>
      <w:iCs/>
      <w:color w:val="000000" w:themeColor="text1"/>
    </w:rPr>
  </w:style>
  <w:style w:type="character" w:customStyle="1" w:styleId="40">
    <w:name w:val="標題 4 字元"/>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aff1">
    <w:name w:val="TOC Heading"/>
    <w:basedOn w:val="1"/>
    <w:next w:val="a0"/>
    <w:uiPriority w:val="39"/>
    <w:semiHidden/>
    <w:unhideWhenUsed/>
    <w:qFormat/>
    <w:rsid w:val="00FC693F"/>
    <w:pPr>
      <w:outlineLvl w:val="9"/>
    </w:pPr>
  </w:style>
  <w:style w:type="table" w:styleId="aff2">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procell.com/news/announcement-results-phase-ii-clinical-trial-in-japan-stemchymal" TargetMode="External"/><Relationship Id="rId13" Type="http://schemas.openxmlformats.org/officeDocument/2006/relationships/hyperlink" Target="https://link.springer.com/article/10.1186/1750-1172-8-17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alth.usf.edu/medicine/neurology/ataxia/abou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clahealth.org/departments/neurology/research-innovation/neurogenetics" TargetMode="External"/><Relationship Id="rId5" Type="http://schemas.openxmlformats.org/officeDocument/2006/relationships/webSettings" Target="webSettings.xml"/><Relationship Id="rId15" Type="http://schemas.openxmlformats.org/officeDocument/2006/relationships/hyperlink" Target="https://clinicaltrials.gov/study/NCT06397274" TargetMode="External"/><Relationship Id="rId10" Type="http://schemas.openxmlformats.org/officeDocument/2006/relationships/hyperlink" Target="https://en.nagoya-u.ac.jp/news/articles/aip_highlights_03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eprocell.com/news/reprocell-submits-application-for-manufacturing-and-marketing-approval-in-japan-for-stem-cell-therapy-stemchymal-for-spinocerebellar-ataxia-sca3-and-sca6" TargetMode="External"/><Relationship Id="rId14" Type="http://schemas.openxmlformats.org/officeDocument/2006/relationships/hyperlink" Target="https://www.scendea.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2061</Words>
  <Characters>2722</Characters>
  <Application>Microsoft Office Word</Application>
  <DocSecurity>0</DocSecurity>
  <Lines>104</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仲恩生醫 Stemchymal 日本取證與國際臨床團隊重點整理</dc:title>
  <dc:subject>日本再生醫療法規與國際臨床作者對取證、試驗及公司評價之影響</dc:subject>
  <dc:creator>投資研究整理</dc:creator>
  <cp:keywords>Stemchymal, 仲恩生醫, PMDA, MSC, SARA, 勝野雅央, Susan Perlman, Theresa Zesiewicz, Kurt Gunter</cp:keywords>
  <dc:description>generated by python-docx</dc:description>
  <cp:lastModifiedBy>昇倫 李</cp:lastModifiedBy>
  <cp:revision>3</cp:revision>
  <dcterms:created xsi:type="dcterms:W3CDTF">2026-07-25T17:41:00Z</dcterms:created>
  <dcterms:modified xsi:type="dcterms:W3CDTF">2026-07-25T17:44:00Z</dcterms:modified>
  <cp:category/>
</cp:coreProperties>
</file>