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6"/>
          <w:szCs w:val="36"/>
        </w:rPr>
        <w:t xml:space="preserve">聯茂（6213）開放問題集與生產時間係數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color w:val="666666"/>
          <w:sz w:val="19"/>
          <w:szCs w:val="19"/>
        </w:rPr>
        <w:t xml:space="preserve">整理日期：2026-08-17　依據：聯茂_6213_研究工作日誌.md（更新至 20260817-2）</w:t>
      </w:r>
    </w:p>
    <w:p>
      <w:pPr>
        <w:pStyle w:val="Heading1"/>
        <w:pBdr>
          <w:bottom w:val="single" w:color="1e3a5f" w:sz="12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0"/>
          <w:szCs w:val="30"/>
        </w:rPr>
        <w:t xml:space="preserve">一、開放問題集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依據工作日誌第六節「仍未解決」與訪談題庫彙整，共 10 項尚待釐清的問題。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600"/>
        <w:gridCol w:w="2700"/>
      </w:tblGrid>
      <w:tr>
        <w:trPr>
          <w:tblHeader/>
        </w:trPr>
        <w:tc>
          <w:tcPr>
            <w:tcW w:type="dxa" w:w="5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6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現況 / 卡在哪裡</w:t>
            </w:r>
          </w:p>
        </w:tc>
        <w:tc>
          <w:tcPr>
            <w:tcW w:type="dxa" w:w="27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2027 稼動率能否如期爬坡至 95%？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0813 私訪只答「視布源」，改善時點只說「明年中下旬」，無法量化到季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追蹤玻纖布供給緩解進度；下次訪談逼問具體月份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mPPO 單耗 0.188 kg/張、CCL 分流比 57.1% 是否準確？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由「M6以上30%」＋「年底M7&gt;10%」兩個口徑交叉反解得出；分流比只來自單一批（700張）海關紀錄，樣本薄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下次訪談若能拿到「M7 月出貨張數」絕對值，可直接釘死，不用再反解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2028 財測缺乏依據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兩次私訪（0813/0815）都沒有 2028 量化 guidance；法人共識反而預期 2028 獲利衰退 -34.8%，與模型方向相反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待更多法說會或訪談釋出 2028 展望後回頭校準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長約鎖價的有無與期間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0815 訪談明確列為未答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列入下次訪談題庫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優分析法人共識原始回傳（Codex F-01）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 JSON 已存檔（聯茂_6213_優分析法人共識原始回傳_20260813.json），但摘要 frontmatter 仍寫「未存檔」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核對後更新 frontmatter，屬文件一致性問題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紅隊情境機率未校準（Codex F-08）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需要 Wallace 在三個選項間裁決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(a) 重設情境權重／(b) 建條件機率模型／(c) 接受為已揭露限制——待裁示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估值敏感度 Excel 未對 v29 重跑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現存版本是 20260807 的舊版，數字已過期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需重跑 gen_valuation_sensitivity.py 並反解校準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2027 營收兩版模型差 31%（987.3 億 vs 內部另一版 750.8 億）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750.8 億版隱含稼動率僅約 65%，與 0813 私訪不相容；目前採用 987.3 億版本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差異未完全解釋，待進一步核對兩版假設分歧點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v20 報告未送 Codex 終審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制度要求個股報告需終審，Wallace 8/17 裁示暫緩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待決定何時補送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訪談題庫 Q3：稼動率天花板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Q1/Q2/Q4/Q5 已由 0813+0815 兩次訪談答覆，僅 Q3 仍未完全解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列入下次訪談題庫</w:t>
            </w:r>
          </w:p>
        </w:tc>
      </w:tr>
    </w:tbl>
    <w:p>
      <w:pPr>
        <w:spacing w:after="200"/>
      </w:pPr>
      <w:r>
        <w:br/>
        <w:t xml:space="preserve"/>
      </w:r>
    </w:p>
    <w:p>
      <w:pPr>
        <w:pStyle w:val="Heading1"/>
        <w:pBdr>
          <w:bottom w:val="single" w:color="1e3a5f" w:sz="12" w:space="4"/>
        </w:pBdr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30"/>
          <w:szCs w:val="30"/>
        </w:rPr>
        <w:t xml:space="preserve">二、M4~M9 生產時間係數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7a1f1f"/>
          <w:sz w:val="21"/>
          <w:szCs w:val="21"/>
        </w:rPr>
        <w:t xml:space="preserve">⚠️ 重要：目前 v29 損益模型並未使用此表。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此表來自《CCL價格指數重估_財務模型檢視_20260725.md》，源頭是建滔 CCL 基層板專家會議（2026/06/20）原文：</w:t>
      </w:r>
    </w:p>
    <w:p>
      <w:pPr>
        <w:pBdr>
          <w:left w:val="single" w:color="999999" w:sz="12" w:space="8"/>
        </w:pBdr>
        <w:spacing w:after="160" w:line="300"/>
        <w:ind w:left="360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「傳統壓合約 2 至 3 小時，M6 以上壓合需 5 至 6 小時，效率更低，單位時間產出僅約一半。」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以傳統板（FR4/M2）壓合時間為基準 1.00：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00"/>
      </w:tblGrid>
      <w:tr>
        <w:trPr>
          <w:tblHeader/>
        </w:trPr>
        <w:tc>
          <w:tcPr>
            <w:tcW w:type="dxa" w:w="1500"/>
            <w:shd w:fill="7a1f1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級距</w:t>
            </w:r>
          </w:p>
        </w:tc>
        <w:tc>
          <w:tcPr>
            <w:tcW w:type="dxa" w:w="2600"/>
            <w:shd w:fill="7a1f1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產出係數（單位時間可產出張數）</w:t>
            </w:r>
          </w:p>
        </w:tc>
        <w:tc>
          <w:tcPr>
            <w:tcW w:type="dxa" w:w="2600"/>
            <w:shd w:fill="7a1f1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 1 張佔用傳統當量</w:t>
            </w:r>
          </w:p>
        </w:tc>
        <w:tc>
          <w:tcPr>
            <w:tcW w:type="dxa" w:w="2600"/>
            <w:shd w:fill="7a1f1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FR4/M2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基準（壓合 2-3hr）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M4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1.05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介於傳統與 M6 之間，無直接數據，內插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2.00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建滔原文「產出僅約一半」（5-6hr vs 2-3hr）★一手來源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M7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0.45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2.22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mPPO 系統後固化更長，遞減外推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M7N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同上，遞減外推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M8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層數/對位要求更嚴，遞減外推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M8U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2.86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同上，遞減外推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M9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Low-CTE＋Q布，硬度高、加工挑戰大，另含良率折損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8a6d00"/>
          <w:sz w:val="24"/>
          <w:szCs w:val="24"/>
        </w:rPr>
        <w:t xml:space="preserve">使用前必須知道的事</w:t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· 只有 M6 這一格是一手數據（建滔會議原文的「5-6hr vs 2-3hr、產出約一半」）。M4、M7、M7N、M8、M8U、M9 六格都是遞減外推／內插，沒有公司或建滔的直接數字支持——這正是問題集第 2 項「mPPO 單耗」爭議的同源問題：級距愈細，證據愈薄。</w:t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· 這張表對應的是「解讀 A」（傳統當量銘牌），即公司公告的「200 萬張可做 M6 以上」被理解為「若全跑傳統板可產出 200 萬張，跑 M6+ 要打對應係數折扣」。</w:t>
      </w:r>
    </w:p>
    <w:p>
      <w:pPr>
        <w:spacing w:after="100" w:line="28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· 但後續《台燿實證_產能口徑解讀_與聯茂模型定案_20260725.md》用台燿 26Q1 高階組合 38%＋稼動率 93% 做決定性檢定，證偽了解讀 A（台燿在解讀 A 下的稼動率上限只有 71.4%，但實際做到 93%，物理上矛盾），改採解讀 B：公司公告的月產能數字本身就已經是該產品組合下的實際產出張數，不需要再打時間係數折扣。</w:t>
      </w:r>
    </w:p>
    <w:p>
      <w:pPr>
        <w:shd w:fill="FFF2CC" w:val="clear"/>
        <w:spacing w:after="160" w:line="30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因此目前 v29 模型的月產能欄位（230／290／425 萬張/月）是解讀 B 口徑，全期不使用上表的產出係數。若要用這張表重新設計模型（例如想改回解讀 A、或想在解讀 B 架構下另外檢查「產能是否被高階組合吃緊」），要注意這是兩套不相容的口徑，不能兩表混用。</w:t>
      </w:r>
    </w:p>
    <w:p>
      <w:pPr>
        <w:pBdr>
          <w:top w:val="single" w:color="CCCCCC" w:sz="6" w:space="4"/>
        </w:pBdr>
        <w:spacing w:before="300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整理自：聯茂_6213_研究工作日誌.md（20260817-2）、CCL價格指數重估_財務模型檢視_20260725.md、台燿實證_產能口徑解讀_與聯茂模型定案_20260725.md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2026-08-17T15:17:25.072Z</dcterms:created>
  <dcterms:modified xsi:type="dcterms:W3CDTF">2026-08-17T15:17:25.072Z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