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5D07D" w14:textId="155C3716" w:rsidR="00B675F9" w:rsidRPr="00A1714D" w:rsidRDefault="00B675F9" w:rsidP="000E5188">
      <w:pPr>
        <w:jc w:val="center"/>
        <w:rPr>
          <w:rFonts w:ascii="Arial Unicode MS" w:hAnsi="Arial Unicode MS" w:cs="Arial Unicode MS"/>
          <w:sz w:val="40"/>
          <w:szCs w:val="40"/>
        </w:rPr>
      </w:pPr>
      <w:r w:rsidRPr="00A1714D">
        <w:rPr>
          <w:rFonts w:ascii="Arial Unicode MS" w:hAnsi="Arial Unicode MS" w:cs="Arial Unicode MS" w:hint="eastAsia"/>
          <w:sz w:val="40"/>
          <w:szCs w:val="40"/>
        </w:rPr>
        <w:t>20260914</w:t>
      </w:r>
      <w:r w:rsidRPr="00A1714D">
        <w:t xml:space="preserve"> </w:t>
      </w:r>
      <w:r w:rsidRPr="00A1714D">
        <w:rPr>
          <w:rFonts w:hint="eastAsia"/>
        </w:rPr>
        <w:t xml:space="preserve"> </w:t>
      </w:r>
      <w:bookmarkStart w:id="0" w:name="_Hlk240465945"/>
      <w:r w:rsidRPr="00A1714D">
        <w:rPr>
          <w:rFonts w:ascii="Arial Unicode MS" w:hAnsi="Arial Unicode MS" w:cs="Arial Unicode MS"/>
          <w:sz w:val="40"/>
          <w:szCs w:val="40"/>
        </w:rPr>
        <w:t>Belite Bio (BLTE)</w:t>
      </w:r>
      <w:bookmarkEnd w:id="0"/>
    </w:p>
    <w:p w14:paraId="3762D8C1" w14:textId="2CC891AD" w:rsidR="000E5188" w:rsidRPr="00A1714D" w:rsidRDefault="000E5188" w:rsidP="000E5188">
      <w:pPr>
        <w:jc w:val="center"/>
        <w:rPr>
          <w:rFonts w:hint="eastAsia"/>
          <w:sz w:val="40"/>
          <w:szCs w:val="40"/>
        </w:rPr>
      </w:pPr>
      <w:r w:rsidRPr="00A1714D">
        <w:rPr>
          <w:rFonts w:ascii="Arial Unicode MS" w:eastAsia="Arial Unicode MS" w:hAnsi="Arial Unicode MS" w:cs="Arial Unicode MS"/>
          <w:sz w:val="40"/>
          <w:szCs w:val="40"/>
        </w:rPr>
        <w:t>(Morgan Stanley 投資會議</w:t>
      </w:r>
      <w:r w:rsidR="00E3477F" w:rsidRPr="00A1714D">
        <w:rPr>
          <w:rFonts w:ascii="Arial Unicode MS" w:eastAsia="Arial Unicode MS" w:hAnsi="Arial Unicode MS" w:cs="Arial Unicode MS"/>
          <w:sz w:val="40"/>
          <w:szCs w:val="40"/>
        </w:rPr>
        <w:t>)</w:t>
      </w:r>
      <w:r w:rsidR="00EE78DB" w:rsidRPr="00A1714D">
        <w:rPr>
          <w:rFonts w:ascii="Arial Unicode MS" w:hAnsi="Arial Unicode MS" w:cs="Arial Unicode MS" w:hint="eastAsia"/>
          <w:sz w:val="40"/>
          <w:szCs w:val="40"/>
        </w:rPr>
        <w:t xml:space="preserve"> memo</w:t>
      </w:r>
    </w:p>
    <w:p w14:paraId="660C61B8" w14:textId="6103D35D" w:rsidR="000E5188" w:rsidRDefault="000E5188" w:rsidP="000E5188">
      <w:r>
        <w:rPr>
          <w:rFonts w:hint="eastAsia"/>
        </w:rPr>
        <w:t>會議</w:t>
      </w:r>
      <w:r w:rsidR="001F3312">
        <w:rPr>
          <w:rFonts w:hint="eastAsia"/>
        </w:rPr>
        <w:t>餐與者</w:t>
      </w:r>
      <w:r>
        <w:rPr>
          <w:rFonts w:hint="eastAsia"/>
        </w:rPr>
        <w:t>：</w:t>
      </w:r>
    </w:p>
    <w:p w14:paraId="040DC7BC" w14:textId="5CC7B5E7" w:rsidR="000E5188" w:rsidRDefault="000E5188" w:rsidP="000E5188">
      <w:r>
        <w:rPr>
          <w:rFonts w:hint="eastAsia"/>
        </w:rPr>
        <w:t>●</w:t>
      </w:r>
      <w:r>
        <w:rPr>
          <w:rFonts w:hint="eastAsia"/>
        </w:rPr>
        <w:tab/>
        <w:t>Judah Fromer</w:t>
      </w:r>
      <w:r>
        <w:rPr>
          <w:rFonts w:hint="eastAsia"/>
        </w:rPr>
        <w:t>（摩根士丹利</w:t>
      </w:r>
      <w:r>
        <w:rPr>
          <w:rFonts w:hint="eastAsia"/>
        </w:rPr>
        <w:t xml:space="preserve"> </w:t>
      </w:r>
      <w:r>
        <w:rPr>
          <w:rFonts w:hint="eastAsia"/>
        </w:rPr>
        <w:t>中小型生技產業分析師，主持人）</w:t>
      </w:r>
    </w:p>
    <w:p w14:paraId="1FB41C64" w14:textId="5E771A01" w:rsidR="000E5188" w:rsidRDefault="000E5188" w:rsidP="000E5188">
      <w:r>
        <w:rPr>
          <w:rFonts w:hint="eastAsia"/>
        </w:rPr>
        <w:t>●</w:t>
      </w:r>
      <w:r>
        <w:rPr>
          <w:rFonts w:hint="eastAsia"/>
        </w:rPr>
        <w:tab/>
        <w:t>Hao / Hayan Schwang</w:t>
      </w:r>
      <w:r>
        <w:rPr>
          <w:rFonts w:hint="eastAsia"/>
        </w:rPr>
        <w:t>（</w:t>
      </w:r>
      <w:r>
        <w:rPr>
          <w:rFonts w:hint="eastAsia"/>
        </w:rPr>
        <w:t xml:space="preserve">Belite Bio </w:t>
      </w:r>
      <w:r>
        <w:rPr>
          <w:rFonts w:hint="eastAsia"/>
        </w:rPr>
        <w:t>財務長</w:t>
      </w:r>
      <w:r>
        <w:rPr>
          <w:rFonts w:hint="eastAsia"/>
        </w:rPr>
        <w:t xml:space="preserve"> CFO</w:t>
      </w:r>
      <w:r>
        <w:rPr>
          <w:rFonts w:hint="eastAsia"/>
        </w:rPr>
        <w:t>）</w:t>
      </w:r>
    </w:p>
    <w:p w14:paraId="5BB1D86E" w14:textId="60265CA9" w:rsidR="000E5188" w:rsidRDefault="000E5188" w:rsidP="000E5188">
      <w:r>
        <w:rPr>
          <w:rFonts w:hint="eastAsia"/>
        </w:rPr>
        <w:t>●</w:t>
      </w:r>
      <w:r>
        <w:rPr>
          <w:rFonts w:hint="eastAsia"/>
        </w:rPr>
        <w:tab/>
        <w:t>Dr. Hendrik Scholl</w:t>
      </w:r>
      <w:r>
        <w:rPr>
          <w:rFonts w:hint="eastAsia"/>
        </w:rPr>
        <w:t>（</w:t>
      </w:r>
      <w:r>
        <w:rPr>
          <w:rFonts w:hint="eastAsia"/>
        </w:rPr>
        <w:t xml:space="preserve">Belite Bio </w:t>
      </w:r>
      <w:r>
        <w:rPr>
          <w:rFonts w:hint="eastAsia"/>
        </w:rPr>
        <w:t>首席醫學官</w:t>
      </w:r>
      <w:r>
        <w:rPr>
          <w:rFonts w:hint="eastAsia"/>
        </w:rPr>
        <w:t xml:space="preserve"> CMO</w:t>
      </w:r>
      <w:r>
        <w:rPr>
          <w:rFonts w:hint="eastAsia"/>
        </w:rPr>
        <w:t>）</w:t>
      </w:r>
    </w:p>
    <w:p w14:paraId="46129A89" w14:textId="335F3169" w:rsidR="000E5188" w:rsidRDefault="000E5188" w:rsidP="000E5188"/>
    <w:p w14:paraId="42CB3468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最核心的研發為</w:t>
      </w:r>
      <w:r>
        <w:rPr>
          <w:rFonts w:hint="eastAsia"/>
        </w:rPr>
        <w:t xml:space="preserve"> Tinlarebant (LBS-008)</w:t>
      </w:r>
      <w:r>
        <w:rPr>
          <w:rFonts w:hint="eastAsia"/>
        </w:rPr>
        <w:t>，同時推進斯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症（</w:t>
      </w:r>
      <w:r>
        <w:rPr>
          <w:rFonts w:hint="eastAsia"/>
        </w:rPr>
        <w:t>STGD1</w:t>
      </w:r>
      <w:r>
        <w:rPr>
          <w:rFonts w:hint="eastAsia"/>
        </w:rPr>
        <w:t>）與地圖狀黃斑部萎縮（</w:t>
      </w:r>
      <w:r>
        <w:rPr>
          <w:rFonts w:hint="eastAsia"/>
        </w:rPr>
        <w:t>GA</w:t>
      </w:r>
      <w:r>
        <w:rPr>
          <w:rFonts w:hint="eastAsia"/>
        </w:rPr>
        <w:t>）兩大適應症。在斯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症方面，已完成關鍵臨床三期</w:t>
      </w:r>
      <w:r>
        <w:rPr>
          <w:rFonts w:hint="eastAsia"/>
        </w:rPr>
        <w:t xml:space="preserve"> DRAGON 1 </w:t>
      </w:r>
      <w:r>
        <w:rPr>
          <w:rFonts w:hint="eastAsia"/>
        </w:rPr>
        <w:t>試驗並向美國</w:t>
      </w:r>
      <w:r>
        <w:rPr>
          <w:rFonts w:hint="eastAsia"/>
        </w:rPr>
        <w:t xml:space="preserve"> FDA </w:t>
      </w:r>
      <w:r>
        <w:rPr>
          <w:rFonts w:hint="eastAsia"/>
        </w:rPr>
        <w:t>提交新藥查驗登記（</w:t>
      </w:r>
      <w:r>
        <w:rPr>
          <w:rFonts w:hint="eastAsia"/>
        </w:rPr>
        <w:t>NDA</w:t>
      </w:r>
      <w:r>
        <w:rPr>
          <w:rFonts w:hint="eastAsia"/>
        </w:rPr>
        <w:t>）。</w:t>
      </w:r>
      <w:r>
        <w:rPr>
          <w:rFonts w:hint="eastAsia"/>
        </w:rPr>
        <w:t xml:space="preserve">FDA </w:t>
      </w:r>
      <w:r>
        <w:rPr>
          <w:rFonts w:hint="eastAsia"/>
        </w:rPr>
        <w:t>已受理該</w:t>
      </w:r>
      <w:r>
        <w:rPr>
          <w:rFonts w:hint="eastAsia"/>
        </w:rPr>
        <w:t xml:space="preserve"> NDA </w:t>
      </w:r>
      <w:r>
        <w:rPr>
          <w:rFonts w:hint="eastAsia"/>
        </w:rPr>
        <w:t>並給予優先審查（</w:t>
      </w:r>
      <w:r>
        <w:rPr>
          <w:rFonts w:hint="eastAsia"/>
        </w:rPr>
        <w:t>Priority Review</w:t>
      </w:r>
      <w:r>
        <w:rPr>
          <w:rFonts w:hint="eastAsia"/>
        </w:rPr>
        <w:t>），審查目標日期（</w:t>
      </w:r>
      <w:r>
        <w:rPr>
          <w:rFonts w:hint="eastAsia"/>
        </w:rPr>
        <w:t>PDUFA Date</w:t>
      </w:r>
      <w:r>
        <w:rPr>
          <w:rFonts w:hint="eastAsia"/>
        </w:rPr>
        <w:t>）定於</w:t>
      </w:r>
      <w:r>
        <w:rPr>
          <w:rFonts w:hint="eastAsia"/>
        </w:rPr>
        <w:t xml:space="preserve"> 2027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</w:t>
      </w:r>
      <w:r>
        <w:rPr>
          <w:rFonts w:hint="eastAsia"/>
        </w:rPr>
        <w:t xml:space="preserve"> 12 </w:t>
      </w:r>
      <w:r>
        <w:rPr>
          <w:rFonts w:hint="eastAsia"/>
        </w:rPr>
        <w:t>日</w:t>
      </w:r>
      <w:r>
        <w:rPr>
          <w:rFonts w:hint="eastAsia"/>
        </w:rPr>
        <w:t xml:space="preserve"> 2</w:t>
      </w:r>
      <w:r>
        <w:rPr>
          <w:rFonts w:hint="eastAsia"/>
        </w:rPr>
        <w:t>。同時，我們也在平行推進第二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三期試驗</w:t>
      </w:r>
      <w:r>
        <w:rPr>
          <w:rFonts w:hint="eastAsia"/>
        </w:rPr>
        <w:t xml:space="preserve"> DRAGON 2</w:t>
      </w:r>
      <w:r>
        <w:rPr>
          <w:rFonts w:hint="eastAsia"/>
        </w:rPr>
        <w:t>，這主要是為了取得日本</w:t>
      </w:r>
      <w:proofErr w:type="gramStart"/>
      <w:r>
        <w:rPr>
          <w:rFonts w:hint="eastAsia"/>
        </w:rPr>
        <w:t>的藥證許可</w:t>
      </w:r>
      <w:proofErr w:type="gramEnd"/>
      <w:r>
        <w:rPr>
          <w:rFonts w:hint="eastAsia"/>
        </w:rPr>
        <w:t>。</w:t>
      </w:r>
    </w:p>
    <w:p w14:paraId="610F37C1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在地圖狀黃斑部萎縮（</w:t>
      </w:r>
      <w:r>
        <w:rPr>
          <w:rFonts w:hint="eastAsia"/>
        </w:rPr>
        <w:t>GA</w:t>
      </w:r>
      <w:r>
        <w:rPr>
          <w:rFonts w:hint="eastAsia"/>
        </w:rPr>
        <w:t>）方面，全球三期試驗</w:t>
      </w:r>
      <w:r>
        <w:rPr>
          <w:rFonts w:hint="eastAsia"/>
        </w:rPr>
        <w:t xml:space="preserve"> PHOENIX </w:t>
      </w:r>
      <w:r>
        <w:rPr>
          <w:rFonts w:hint="eastAsia"/>
        </w:rPr>
        <w:t>目前也正在積極進行中。</w:t>
      </w:r>
    </w:p>
    <w:p w14:paraId="0EBCBDB4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症大約在一個世紀前由</w:t>
      </w:r>
      <w:r>
        <w:rPr>
          <w:rFonts w:hint="eastAsia"/>
        </w:rPr>
        <w:t xml:space="preserve"> Karl Stargardt </w:t>
      </w:r>
      <w:r>
        <w:rPr>
          <w:rFonts w:hint="eastAsia"/>
        </w:rPr>
        <w:t>醫生首次描述。在所有導致視網膜退化的基因突變中，</w:t>
      </w:r>
      <w:r>
        <w:rPr>
          <w:rFonts w:hint="eastAsia"/>
        </w:rPr>
        <w:t xml:space="preserve">ABCA4 </w:t>
      </w:r>
      <w:r>
        <w:rPr>
          <w:rFonts w:hint="eastAsia"/>
        </w:rPr>
        <w:t>基因突變是盛行率最高的一種。在高加索</w:t>
      </w:r>
      <w:r>
        <w:rPr>
          <w:rFonts w:hint="eastAsia"/>
        </w:rPr>
        <w:t>/</w:t>
      </w:r>
      <w:r>
        <w:rPr>
          <w:rFonts w:hint="eastAsia"/>
        </w:rPr>
        <w:t>歐洲裔人群中，盛行率約為</w:t>
      </w:r>
      <w:r>
        <w:rPr>
          <w:rFonts w:hint="eastAsia"/>
        </w:rPr>
        <w:t xml:space="preserve"> 1/6,500</w:t>
      </w:r>
      <w:r>
        <w:rPr>
          <w:rFonts w:hint="eastAsia"/>
        </w:rPr>
        <w:t>；東亞人群略低，而非洲裔人群則較高。根據基因</w:t>
      </w:r>
      <w:proofErr w:type="gramStart"/>
      <w:r>
        <w:rPr>
          <w:rFonts w:hint="eastAsia"/>
        </w:rPr>
        <w:t>外顯率與</w:t>
      </w:r>
      <w:proofErr w:type="gramEnd"/>
      <w:r>
        <w:rPr>
          <w:rFonts w:hint="eastAsia"/>
        </w:rPr>
        <w:t>突變率推估，美國約有</w:t>
      </w:r>
      <w:r>
        <w:rPr>
          <w:rFonts w:hint="eastAsia"/>
        </w:rPr>
        <w:t xml:space="preserve"> 47,000 </w:t>
      </w:r>
      <w:r>
        <w:rPr>
          <w:rFonts w:hint="eastAsia"/>
        </w:rPr>
        <w:t>至</w:t>
      </w:r>
      <w:r>
        <w:rPr>
          <w:rFonts w:hint="eastAsia"/>
        </w:rPr>
        <w:t xml:space="preserve"> 59,000 </w:t>
      </w:r>
      <w:r>
        <w:rPr>
          <w:rFonts w:hint="eastAsia"/>
        </w:rPr>
        <w:t>名</w:t>
      </w:r>
      <w:r>
        <w:rPr>
          <w:rFonts w:hint="eastAsia"/>
        </w:rPr>
        <w:t xml:space="preserve"> </w:t>
      </w:r>
      <w:r>
        <w:rPr>
          <w:rFonts w:hint="eastAsia"/>
        </w:rPr>
        <w:t>患者受此疾病影響。我們的市場研究顯示，目前美國已有</w:t>
      </w:r>
      <w:r>
        <w:rPr>
          <w:rFonts w:hint="eastAsia"/>
        </w:rPr>
        <w:t xml:space="preserve"> 20,000 </w:t>
      </w:r>
      <w:r>
        <w:rPr>
          <w:rFonts w:hint="eastAsia"/>
        </w:rPr>
        <w:t>名</w:t>
      </w:r>
      <w:r>
        <w:rPr>
          <w:rFonts w:hint="eastAsia"/>
        </w:rPr>
        <w:t xml:space="preserve"> </w:t>
      </w:r>
      <w:r>
        <w:rPr>
          <w:rFonts w:hint="eastAsia"/>
        </w:rPr>
        <w:t>臨床確診患者。在這</w:t>
      </w:r>
      <w:r>
        <w:rPr>
          <w:rFonts w:hint="eastAsia"/>
        </w:rPr>
        <w:t xml:space="preserve"> 20,000 </w:t>
      </w:r>
      <w:r>
        <w:rPr>
          <w:rFonts w:hint="eastAsia"/>
        </w:rPr>
        <w:t>名臨床確診患者中，超過一半（約</w:t>
      </w:r>
      <w:r>
        <w:rPr>
          <w:rFonts w:hint="eastAsia"/>
        </w:rPr>
        <w:t xml:space="preserve"> 11,000 </w:t>
      </w:r>
      <w:r>
        <w:rPr>
          <w:rFonts w:hint="eastAsia"/>
        </w:rPr>
        <w:t>人）已獲得基因確診（即檢出至少一個</w:t>
      </w:r>
      <w:r>
        <w:rPr>
          <w:rFonts w:hint="eastAsia"/>
        </w:rPr>
        <w:t xml:space="preserve"> ABCA4 </w:t>
      </w:r>
      <w:r>
        <w:rPr>
          <w:rFonts w:hint="eastAsia"/>
        </w:rPr>
        <w:t>基因突變）。</w:t>
      </w:r>
    </w:p>
    <w:p w14:paraId="749F5FA3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症是導致青少年與青年</w:t>
      </w:r>
      <w:proofErr w:type="gramStart"/>
      <w:r>
        <w:rPr>
          <w:rFonts w:hint="eastAsia"/>
        </w:rPr>
        <w:t>法定盲（</w:t>
      </w:r>
      <w:proofErr w:type="gramEnd"/>
      <w:r>
        <w:rPr>
          <w:rFonts w:hint="eastAsia"/>
        </w:rPr>
        <w:t>Legal Blindness</w:t>
      </w:r>
      <w:r>
        <w:rPr>
          <w:rFonts w:hint="eastAsia"/>
        </w:rPr>
        <w:t>）最主要的遺傳性眼科疾病。疾病通常在兒童期或青年期發病，並呈無情進行性惡化，幾乎所有病例最終都會導致</w:t>
      </w:r>
      <w:proofErr w:type="gramStart"/>
      <w:r>
        <w:rPr>
          <w:rFonts w:hint="eastAsia"/>
        </w:rPr>
        <w:t>法定盲，</w:t>
      </w:r>
      <w:proofErr w:type="gramEnd"/>
      <w:r>
        <w:rPr>
          <w:rFonts w:hint="eastAsia"/>
        </w:rPr>
        <w:t>極少數極端情況甚至會喪失光感。由於發病早且病情嚴重，幾乎所有患者一生中都會尋求診斷。</w:t>
      </w:r>
    </w:p>
    <w:p w14:paraId="37618CE2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借助現代快速、可靠且精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的眼科影像設備，診斷斯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症並不困難。我們預期當藥物上市後，絕大多數患者將被轉診至視網膜專科醫師（</w:t>
      </w:r>
      <w:r>
        <w:rPr>
          <w:rFonts w:hint="eastAsia"/>
        </w:rPr>
        <w:t>Retina Specialists</w:t>
      </w:r>
      <w:r>
        <w:rPr>
          <w:rFonts w:hint="eastAsia"/>
        </w:rPr>
        <w:t>），特別是遺傳性視網膜疾病專科醫師（</w:t>
      </w:r>
      <w:r>
        <w:rPr>
          <w:rFonts w:hint="eastAsia"/>
        </w:rPr>
        <w:t>IRD Specialists</w:t>
      </w:r>
      <w:r>
        <w:rPr>
          <w:rFonts w:hint="eastAsia"/>
        </w:rPr>
        <w:t>）。我們對全美主要的卓越中心（</w:t>
      </w:r>
      <w:r>
        <w:rPr>
          <w:rFonts w:hint="eastAsia"/>
        </w:rPr>
        <w:t>Centers of Excellence</w:t>
      </w:r>
      <w:r>
        <w:rPr>
          <w:rFonts w:hint="eastAsia"/>
        </w:rPr>
        <w:t>）及</w:t>
      </w:r>
      <w:r>
        <w:rPr>
          <w:rFonts w:hint="eastAsia"/>
        </w:rPr>
        <w:t xml:space="preserve"> IRD </w:t>
      </w:r>
      <w:r>
        <w:rPr>
          <w:rFonts w:hint="eastAsia"/>
        </w:rPr>
        <w:t>專家的分佈有著非常清晰的掌握。</w:t>
      </w:r>
    </w:p>
    <w:p w14:paraId="5F0706D1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黃斑區萎縮周圍環繞著黃白色斑點。這些斑點就是累積在視網膜上的毒性</w:t>
      </w:r>
      <w:proofErr w:type="gramStart"/>
      <w:r>
        <w:rPr>
          <w:rFonts w:hint="eastAsia"/>
        </w:rPr>
        <w:t>雙維甲</w:t>
      </w:r>
      <w:proofErr w:type="gramEnd"/>
      <w:r>
        <w:rPr>
          <w:rFonts w:hint="eastAsia"/>
        </w:rPr>
        <w:t>酸（</w:t>
      </w:r>
      <w:r>
        <w:rPr>
          <w:rFonts w:hint="eastAsia"/>
        </w:rPr>
        <w:t>Toxic Bisretinoids / A2E</w:t>
      </w:r>
      <w:r>
        <w:rPr>
          <w:rFonts w:hint="eastAsia"/>
        </w:rPr>
        <w:t>）。當我們使用藍光自體螢光影像（</w:t>
      </w:r>
      <w:r>
        <w:rPr>
          <w:rFonts w:hint="eastAsia"/>
        </w:rPr>
        <w:t>Autofluorescence Imaging</w:t>
      </w:r>
      <w:r>
        <w:rPr>
          <w:rFonts w:hint="eastAsia"/>
        </w:rPr>
        <w:t>）時，這些斑點會發亮，代表毒性物質的</w:t>
      </w:r>
      <w:proofErr w:type="gramStart"/>
      <w:r>
        <w:rPr>
          <w:rFonts w:hint="eastAsia"/>
        </w:rPr>
        <w:t>沉</w:t>
      </w:r>
      <w:proofErr w:type="gramEnd"/>
      <w:r>
        <w:rPr>
          <w:rFonts w:hint="eastAsia"/>
        </w:rPr>
        <w:t>積。</w:t>
      </w:r>
    </w:p>
    <w:p w14:paraId="4C87E11F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病因在於</w:t>
      </w:r>
      <w:r>
        <w:rPr>
          <w:rFonts w:hint="eastAsia"/>
        </w:rPr>
        <w:t xml:space="preserve"> ABCA4 </w:t>
      </w:r>
      <w:r>
        <w:rPr>
          <w:rFonts w:hint="eastAsia"/>
        </w:rPr>
        <w:t>基因突變</w:t>
      </w:r>
      <w:r>
        <w:rPr>
          <w:rFonts w:hint="eastAsia"/>
        </w:rPr>
        <w:t xml:space="preserve"> </w:t>
      </w:r>
      <w:r>
        <w:rPr>
          <w:rFonts w:hint="eastAsia"/>
        </w:rPr>
        <w:t>導致</w:t>
      </w:r>
      <w:r>
        <w:rPr>
          <w:rFonts w:hint="eastAsia"/>
        </w:rPr>
        <w:t xml:space="preserve"> ABCA4 </w:t>
      </w:r>
      <w:r>
        <w:rPr>
          <w:rFonts w:hint="eastAsia"/>
        </w:rPr>
        <w:t>蛋白功能障礙，無法清除視覺循環（</w:t>
      </w:r>
      <w:r>
        <w:rPr>
          <w:rFonts w:hint="eastAsia"/>
        </w:rPr>
        <w:t>Visual Cycle</w:t>
      </w:r>
      <w:r>
        <w:rPr>
          <w:rFonts w:hint="eastAsia"/>
        </w:rPr>
        <w:t>）中的副產物，造成毒性</w:t>
      </w:r>
      <w:proofErr w:type="gramStart"/>
      <w:r>
        <w:rPr>
          <w:rFonts w:hint="eastAsia"/>
        </w:rPr>
        <w:t>雙維甲</w:t>
      </w:r>
      <w:proofErr w:type="gramEnd"/>
      <w:r>
        <w:rPr>
          <w:rFonts w:hint="eastAsia"/>
        </w:rPr>
        <w:t>酸持續累積，最終導致黃斑部感光細胞與視網膜色素上皮細胞（</w:t>
      </w:r>
      <w:r>
        <w:rPr>
          <w:rFonts w:hint="eastAsia"/>
        </w:rPr>
        <w:t>RPE</w:t>
      </w:r>
      <w:r>
        <w:rPr>
          <w:rFonts w:hint="eastAsia"/>
        </w:rPr>
        <w:t>）萎縮退化。</w:t>
      </w:r>
    </w:p>
    <w:p w14:paraId="666F2DB1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 xml:space="preserve">Tinlarebant </w:t>
      </w:r>
      <w:r>
        <w:rPr>
          <w:rFonts w:hint="eastAsia"/>
        </w:rPr>
        <w:t>能精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減少進入眼部感光細胞的維生素</w:t>
      </w:r>
      <w:r>
        <w:rPr>
          <w:rFonts w:hint="eastAsia"/>
        </w:rPr>
        <w:t xml:space="preserve"> A </w:t>
      </w:r>
      <w:r>
        <w:rPr>
          <w:rFonts w:hint="eastAsia"/>
        </w:rPr>
        <w:t>流量，進而從源頭減少毒性</w:t>
      </w:r>
      <w:r>
        <w:rPr>
          <w:rFonts w:hint="eastAsia"/>
        </w:rPr>
        <w:t xml:space="preserve"> A2E </w:t>
      </w:r>
      <w:r>
        <w:rPr>
          <w:rFonts w:hint="eastAsia"/>
        </w:rPr>
        <w:t>與</w:t>
      </w:r>
      <w:proofErr w:type="gramStart"/>
      <w:r>
        <w:rPr>
          <w:rFonts w:hint="eastAsia"/>
        </w:rPr>
        <w:t>雙維甲</w:t>
      </w:r>
      <w:proofErr w:type="gramEnd"/>
      <w:r>
        <w:rPr>
          <w:rFonts w:hint="eastAsia"/>
        </w:rPr>
        <w:t>酸的形成，最終保留感光細胞並保護視力。</w:t>
      </w:r>
    </w:p>
    <w:p w14:paraId="4AF3BDB6" w14:textId="77777777" w:rsidR="00663EC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 xml:space="preserve">FDA </w:t>
      </w:r>
      <w:r>
        <w:rPr>
          <w:rFonts w:hint="eastAsia"/>
        </w:rPr>
        <w:t>已明確採納「在影像上保留感光細胞」作為可核准的臨床終點。例如先前獲准用於地圖狀黃斑部萎縮（</w:t>
      </w:r>
      <w:r>
        <w:rPr>
          <w:rFonts w:hint="eastAsia"/>
        </w:rPr>
        <w:t>GA</w:t>
      </w:r>
      <w:r>
        <w:rPr>
          <w:rFonts w:hint="eastAsia"/>
        </w:rPr>
        <w:t>）的</w:t>
      </w:r>
      <w:r>
        <w:rPr>
          <w:rFonts w:hint="eastAsia"/>
        </w:rPr>
        <w:t xml:space="preserve"> Syfovre </w:t>
      </w:r>
      <w:r>
        <w:rPr>
          <w:rFonts w:hint="eastAsia"/>
        </w:rPr>
        <w:t>與</w:t>
      </w:r>
      <w:r>
        <w:rPr>
          <w:rFonts w:hint="eastAsia"/>
        </w:rPr>
        <w:t xml:space="preserve"> Izervay </w:t>
      </w:r>
      <w:r>
        <w:rPr>
          <w:rFonts w:hint="eastAsia"/>
        </w:rPr>
        <w:t>均基於此邏輯。</w:t>
      </w:r>
    </w:p>
    <w:p w14:paraId="49477AB8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在斯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症中，我們採用了更精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的指標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明確減少的自體螢光（</w:t>
      </w:r>
      <w:r>
        <w:rPr>
          <w:rFonts w:hint="eastAsia"/>
        </w:rPr>
        <w:t>DDAF, Definitely Decreased Autofluorescence</w:t>
      </w:r>
      <w:r>
        <w:rPr>
          <w:rFonts w:hint="eastAsia"/>
        </w:rPr>
        <w:t>）。在</w:t>
      </w:r>
      <w:r>
        <w:rPr>
          <w:rFonts w:hint="eastAsia"/>
        </w:rPr>
        <w:t xml:space="preserve"> ProgStar </w:t>
      </w:r>
      <w:r>
        <w:rPr>
          <w:rFonts w:hint="eastAsia"/>
        </w:rPr>
        <w:t>全球自然病程研究中，已證實</w:t>
      </w:r>
      <w:r>
        <w:rPr>
          <w:rFonts w:hint="eastAsia"/>
        </w:rPr>
        <w:t xml:space="preserve"> DDAF </w:t>
      </w:r>
      <w:r>
        <w:rPr>
          <w:rFonts w:hint="eastAsia"/>
        </w:rPr>
        <w:t>代表感光細胞完全萎縮的區域，且以可預測的速度擴大。</w:t>
      </w:r>
    </w:p>
    <w:p w14:paraId="5B623972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lastRenderedPageBreak/>
        <w:t>獲得</w:t>
      </w:r>
      <w:r>
        <w:rPr>
          <w:rFonts w:hint="eastAsia"/>
        </w:rPr>
        <w:t xml:space="preserve"> FDA </w:t>
      </w:r>
      <w:r>
        <w:rPr>
          <w:rFonts w:hint="eastAsia"/>
        </w:rPr>
        <w:t>核准將對全球監管機構產生重大示範作用。斯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症與</w:t>
      </w:r>
      <w:r>
        <w:rPr>
          <w:rFonts w:hint="eastAsia"/>
        </w:rPr>
        <w:t xml:space="preserve"> GA </w:t>
      </w:r>
      <w:r>
        <w:rPr>
          <w:rFonts w:hint="eastAsia"/>
        </w:rPr>
        <w:t>不同，它是一項發病早、極為嚴重的青少年罕見疾病。</w:t>
      </w:r>
      <w:r>
        <w:rPr>
          <w:rFonts w:hint="eastAsia"/>
        </w:rPr>
        <w:t xml:space="preserve">EMA </w:t>
      </w:r>
      <w:r>
        <w:rPr>
          <w:rFonts w:hint="eastAsia"/>
        </w:rPr>
        <w:t>在評估新藥時會綜合考量「效益</w:t>
      </w:r>
      <w:r>
        <w:rPr>
          <w:rFonts w:hint="eastAsia"/>
        </w:rPr>
        <w:t>-</w:t>
      </w:r>
      <w:r>
        <w:rPr>
          <w:rFonts w:hint="eastAsia"/>
        </w:rPr>
        <w:t>風險比（</w:t>
      </w:r>
      <w:r>
        <w:rPr>
          <w:rFonts w:hint="eastAsia"/>
        </w:rPr>
        <w:t>Safety, Tolerability &amp; Efficacy</w:t>
      </w:r>
      <w:r>
        <w:rPr>
          <w:rFonts w:hint="eastAsia"/>
        </w:rPr>
        <w:t>）」。</w:t>
      </w:r>
      <w:r>
        <w:rPr>
          <w:rFonts w:hint="eastAsia"/>
        </w:rPr>
        <w:t xml:space="preserve">Tinlarebant </w:t>
      </w:r>
      <w:r>
        <w:rPr>
          <w:rFonts w:hint="eastAsia"/>
        </w:rPr>
        <w:t>展現了</w:t>
      </w:r>
      <w:r>
        <w:rPr>
          <w:rFonts w:hint="eastAsia"/>
        </w:rPr>
        <w:t xml:space="preserve"> 36% </w:t>
      </w:r>
      <w:r>
        <w:rPr>
          <w:rFonts w:hint="eastAsia"/>
        </w:rPr>
        <w:t>的強效抑制作病變效果、極佳的安全性，且為每日一次口服眼藥（無需像</w:t>
      </w:r>
      <w:r>
        <w:rPr>
          <w:rFonts w:hint="eastAsia"/>
        </w:rPr>
        <w:t xml:space="preserve"> GA </w:t>
      </w:r>
      <w:r>
        <w:rPr>
          <w:rFonts w:hint="eastAsia"/>
        </w:rPr>
        <w:t>藥物般每月進行眼內注射）。考慮到發病人群年輕與未滿足需求的迫切性，我們對國際監管機構的態度持積極樂觀看法。</w:t>
      </w:r>
    </w:p>
    <w:p w14:paraId="26E5DAAB" w14:textId="245C7F4E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副作用</w:t>
      </w:r>
      <w:r w:rsidR="00543B3B">
        <w:rPr>
          <w:rFonts w:hint="eastAsia"/>
        </w:rPr>
        <w:t>:</w:t>
      </w:r>
    </w:p>
    <w:p w14:paraId="2E35A6CB" w14:textId="77777777" w:rsidR="00543B3B" w:rsidRDefault="000E5188" w:rsidP="00CC4A6B">
      <w:pPr>
        <w:pStyle w:val="a9"/>
        <w:numPr>
          <w:ilvl w:val="0"/>
          <w:numId w:val="9"/>
        </w:numPr>
        <w:ind w:leftChars="0"/>
        <w:jc w:val="both"/>
      </w:pPr>
      <w:proofErr w:type="gramStart"/>
      <w:r>
        <w:rPr>
          <w:rFonts w:hint="eastAsia"/>
        </w:rPr>
        <w:t>患者從亮處</w:t>
      </w:r>
      <w:proofErr w:type="gramEnd"/>
      <w:r>
        <w:rPr>
          <w:rFonts w:hint="eastAsia"/>
        </w:rPr>
        <w:t>進入暗處時，適應時間可能延長約</w:t>
      </w:r>
      <w:r>
        <w:rPr>
          <w:rFonts w:hint="eastAsia"/>
        </w:rPr>
        <w:t xml:space="preserve"> 5 </w:t>
      </w:r>
      <w:r>
        <w:rPr>
          <w:rFonts w:hint="eastAsia"/>
        </w:rPr>
        <w:t>分鐘</w:t>
      </w:r>
      <w:r>
        <w:rPr>
          <w:rFonts w:hint="eastAsia"/>
        </w:rPr>
        <w:t xml:space="preserve"> 10</w:t>
      </w:r>
      <w:r>
        <w:rPr>
          <w:rFonts w:hint="eastAsia"/>
        </w:rPr>
        <w:t>。這代表藥物成功發揮作用，且極易管理，並不影響最終的光敏感度極限（故不屬於夜盲症）。</w:t>
      </w:r>
    </w:p>
    <w:p w14:paraId="0A760599" w14:textId="613725C4" w:rsidR="00543B3B" w:rsidRDefault="000E5188" w:rsidP="00CC4A6B">
      <w:pPr>
        <w:pStyle w:val="a9"/>
        <w:numPr>
          <w:ilvl w:val="0"/>
          <w:numId w:val="9"/>
        </w:numPr>
        <w:ind w:leftChars="0"/>
        <w:jc w:val="both"/>
        <w:rPr>
          <w:rFonts w:hint="eastAsia"/>
        </w:rPr>
      </w:pPr>
      <w:r>
        <w:rPr>
          <w:rFonts w:hint="eastAsia"/>
        </w:rPr>
        <w:t>剛從暗處進入亮處時，視覺可能呈現數秒至數分鐘的黃色或藍色調偏離。這屬於良性效應，不影響辨識人臉、閱讀等功能，經衛教後</w:t>
      </w:r>
      <w:proofErr w:type="gramStart"/>
      <w:r>
        <w:rPr>
          <w:rFonts w:hint="eastAsia"/>
        </w:rPr>
        <w:t>患者均能輕鬆</w:t>
      </w:r>
      <w:proofErr w:type="gramEnd"/>
      <w:r>
        <w:rPr>
          <w:rFonts w:hint="eastAsia"/>
        </w:rPr>
        <w:t>適應。</w:t>
      </w:r>
    </w:p>
    <w:p w14:paraId="101C2D82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我們與</w:t>
      </w:r>
      <w:r>
        <w:rPr>
          <w:rFonts w:hint="eastAsia"/>
        </w:rPr>
        <w:t xml:space="preserve"> FDA </w:t>
      </w:r>
      <w:r>
        <w:rPr>
          <w:rFonts w:hint="eastAsia"/>
        </w:rPr>
        <w:t>的溝通非常順暢且具建設性。考量到罕見疾病的特殊性，</w:t>
      </w:r>
      <w:r>
        <w:rPr>
          <w:rFonts w:hint="eastAsia"/>
        </w:rPr>
        <w:t xml:space="preserve">FDA </w:t>
      </w:r>
      <w:r>
        <w:rPr>
          <w:rFonts w:hint="eastAsia"/>
        </w:rPr>
        <w:t>始終保持開放態度，且對</w:t>
      </w:r>
      <w:r>
        <w:rPr>
          <w:rFonts w:hint="eastAsia"/>
        </w:rPr>
        <w:t xml:space="preserve"> DDAF </w:t>
      </w:r>
      <w:r>
        <w:rPr>
          <w:rFonts w:hint="eastAsia"/>
        </w:rPr>
        <w:t>終點有著極深厚的學術認知。</w:t>
      </w:r>
    </w:p>
    <w:p w14:paraId="45601918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我們引入</w:t>
      </w:r>
      <w:r>
        <w:rPr>
          <w:rFonts w:hint="eastAsia"/>
        </w:rPr>
        <w:t xml:space="preserve"> ProgStar </w:t>
      </w:r>
      <w:r>
        <w:rPr>
          <w:rFonts w:hint="eastAsia"/>
        </w:rPr>
        <w:t>數百名患者數據補充安慰劑組，進一步拉大了療效統計顯著性（</w:t>
      </w:r>
      <w:r>
        <w:rPr>
          <w:rFonts w:hint="eastAsia"/>
        </w:rPr>
        <w:t xml:space="preserve">p </w:t>
      </w:r>
      <w:r>
        <w:rPr>
          <w:rFonts w:hint="eastAsia"/>
        </w:rPr>
        <w:t>值更低、療效信號更高）。</w:t>
      </w:r>
    </w:p>
    <w:p w14:paraId="1C81E6AB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 xml:space="preserve">Tinlarebant </w:t>
      </w:r>
      <w:r>
        <w:rPr>
          <w:rFonts w:hint="eastAsia"/>
        </w:rPr>
        <w:t>作為口服藥，對雙眼同時發揮作用。</w:t>
      </w:r>
      <w:proofErr w:type="gramStart"/>
      <w:r>
        <w:rPr>
          <w:rFonts w:hint="eastAsia"/>
        </w:rPr>
        <w:t>對側眼分析</w:t>
      </w:r>
      <w:proofErr w:type="gramEnd"/>
      <w:r>
        <w:rPr>
          <w:rFonts w:hint="eastAsia"/>
        </w:rPr>
        <w:t>同樣觀察到</w:t>
      </w:r>
      <w:r>
        <w:rPr>
          <w:rFonts w:hint="eastAsia"/>
        </w:rPr>
        <w:t xml:space="preserve"> 33% </w:t>
      </w:r>
      <w:r>
        <w:rPr>
          <w:rFonts w:hint="eastAsia"/>
        </w:rPr>
        <w:t>的病變生長減緩，且達到統計學顯著（</w:t>
      </w:r>
      <w:r>
        <w:rPr>
          <w:rFonts w:hint="eastAsia"/>
        </w:rPr>
        <w:t>p &lt; 0.05</w:t>
      </w:r>
      <w:r>
        <w:rPr>
          <w:rFonts w:hint="eastAsia"/>
        </w:rPr>
        <w:t>），這提供了極其強大的內部驗證性證據。</w:t>
      </w:r>
    </w:p>
    <w:p w14:paraId="455271C2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臨床試驗雖然設定了</w:t>
      </w:r>
      <w:r>
        <w:rPr>
          <w:rFonts w:hint="eastAsia"/>
        </w:rPr>
        <w:t xml:space="preserve"> 12 </w:t>
      </w:r>
      <w:r>
        <w:rPr>
          <w:rFonts w:hint="eastAsia"/>
        </w:rPr>
        <w:t>至</w:t>
      </w:r>
      <w:r>
        <w:rPr>
          <w:rFonts w:hint="eastAsia"/>
        </w:rPr>
        <w:t xml:space="preserve"> 20 </w:t>
      </w:r>
      <w:r>
        <w:rPr>
          <w:rFonts w:hint="eastAsia"/>
        </w:rPr>
        <w:t>歲的收案範圍，但斯</w:t>
      </w:r>
      <w:proofErr w:type="gramStart"/>
      <w:r>
        <w:rPr>
          <w:rFonts w:hint="eastAsia"/>
        </w:rPr>
        <w:t>特格氏</w:t>
      </w:r>
      <w:proofErr w:type="gramEnd"/>
      <w:r>
        <w:rPr>
          <w:rFonts w:hint="eastAsia"/>
        </w:rPr>
        <w:t>症源於相同的</w:t>
      </w:r>
      <w:r>
        <w:rPr>
          <w:rFonts w:hint="eastAsia"/>
        </w:rPr>
        <w:t xml:space="preserve"> ABCA4 </w:t>
      </w:r>
      <w:r>
        <w:rPr>
          <w:rFonts w:hint="eastAsia"/>
        </w:rPr>
        <w:t>基因突變與蛋白功能障礙，病理機制在所有年齡層均一致。試驗數據在科學上具備極高的可</w:t>
      </w:r>
      <w:proofErr w:type="gramStart"/>
      <w:r>
        <w:rPr>
          <w:rFonts w:hint="eastAsia"/>
        </w:rPr>
        <w:t>外推性</w:t>
      </w:r>
      <w:proofErr w:type="gramEnd"/>
      <w:r>
        <w:rPr>
          <w:rFonts w:hint="eastAsia"/>
        </w:rPr>
        <w:t>（</w:t>
      </w:r>
      <w:r>
        <w:rPr>
          <w:rFonts w:hint="eastAsia"/>
        </w:rPr>
        <w:t>Generalizability</w:t>
      </w:r>
      <w:r>
        <w:rPr>
          <w:rFonts w:hint="eastAsia"/>
        </w:rPr>
        <w:t>）。這與</w:t>
      </w:r>
      <w:r>
        <w:rPr>
          <w:rFonts w:hint="eastAsia"/>
        </w:rPr>
        <w:t xml:space="preserve"> FDA </w:t>
      </w:r>
      <w:r>
        <w:rPr>
          <w:rFonts w:hint="eastAsia"/>
        </w:rPr>
        <w:t>過去處理</w:t>
      </w:r>
      <w:r>
        <w:rPr>
          <w:rFonts w:hint="eastAsia"/>
        </w:rPr>
        <w:t xml:space="preserve"> GA </w:t>
      </w:r>
      <w:r>
        <w:rPr>
          <w:rFonts w:hint="eastAsia"/>
        </w:rPr>
        <w:t>藥物標籤的邏輯一致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即使試驗收案年齡較窄，最終核准的標籤亦未限制年齡上限。</w:t>
      </w:r>
    </w:p>
    <w:p w14:paraId="43072177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精</w:t>
      </w:r>
      <w:proofErr w:type="gramStart"/>
      <w:r>
        <w:rPr>
          <w:rFonts w:hint="eastAsia"/>
        </w:rPr>
        <w:t>準</w:t>
      </w:r>
      <w:proofErr w:type="gramEnd"/>
      <w:r>
        <w:rPr>
          <w:rFonts w:hint="eastAsia"/>
        </w:rPr>
        <w:t>對接</w:t>
      </w:r>
      <w:r>
        <w:rPr>
          <w:rFonts w:hint="eastAsia"/>
        </w:rPr>
        <w:t xml:space="preserve"> 20,000 </w:t>
      </w:r>
      <w:r>
        <w:rPr>
          <w:rFonts w:hint="eastAsia"/>
        </w:rPr>
        <w:t>名診斷患者：</w:t>
      </w:r>
      <w:r>
        <w:rPr>
          <w:rFonts w:hint="eastAsia"/>
        </w:rPr>
        <w:t xml:space="preserve"> </w:t>
      </w:r>
      <w:r>
        <w:rPr>
          <w:rFonts w:hint="eastAsia"/>
        </w:rPr>
        <w:t>核心銷售與醫學聯絡團隊（</w:t>
      </w:r>
      <w:r>
        <w:rPr>
          <w:rFonts w:hint="eastAsia"/>
        </w:rPr>
        <w:t>MSL</w:t>
      </w:r>
      <w:r>
        <w:rPr>
          <w:rFonts w:hint="eastAsia"/>
        </w:rPr>
        <w:t>）將聚焦於掌握多數確診病患的</w:t>
      </w:r>
      <w:r>
        <w:rPr>
          <w:rFonts w:hint="eastAsia"/>
        </w:rPr>
        <w:t xml:space="preserve"> IRD </w:t>
      </w:r>
      <w:r>
        <w:rPr>
          <w:rFonts w:hint="eastAsia"/>
        </w:rPr>
        <w:t>專家與視網膜專科醫師。</w:t>
      </w:r>
    </w:p>
    <w:p w14:paraId="6D48FD3F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針對一般眼科醫師與驗光師進行教育，推廣低成本或免費的贊助基因檢測計劃（如</w:t>
      </w:r>
      <w:r>
        <w:rPr>
          <w:rFonts w:hint="eastAsia"/>
        </w:rPr>
        <w:t xml:space="preserve"> My Retina Tracker</w:t>
      </w:r>
      <w:r>
        <w:rPr>
          <w:rFonts w:hint="eastAsia"/>
        </w:rPr>
        <w:t>），加速剩餘</w:t>
      </w:r>
      <w:r>
        <w:rPr>
          <w:rFonts w:hint="eastAsia"/>
        </w:rPr>
        <w:t xml:space="preserve"> 50% </w:t>
      </w:r>
      <w:proofErr w:type="gramStart"/>
      <w:r>
        <w:rPr>
          <w:rFonts w:hint="eastAsia"/>
        </w:rPr>
        <w:t>未確診</w:t>
      </w:r>
      <w:proofErr w:type="gramEnd"/>
      <w:r>
        <w:rPr>
          <w:rFonts w:hint="eastAsia"/>
        </w:rPr>
        <w:t>患者的篩檢。</w:t>
      </w:r>
    </w:p>
    <w:p w14:paraId="566AE4FB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保險支付准入（</w:t>
      </w:r>
      <w:r>
        <w:rPr>
          <w:rFonts w:hint="eastAsia"/>
        </w:rPr>
        <w:t>Payer Access</w:t>
      </w:r>
      <w:r>
        <w:rPr>
          <w:rFonts w:hint="eastAsia"/>
        </w:rPr>
        <w:t>）：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多輪研究</w:t>
      </w:r>
      <w:proofErr w:type="gramEnd"/>
      <w:r>
        <w:rPr>
          <w:rFonts w:hint="eastAsia"/>
        </w:rPr>
        <w:t>顯示支付方態度非常支持（考量到病患長達</w:t>
      </w:r>
      <w:r>
        <w:rPr>
          <w:rFonts w:hint="eastAsia"/>
        </w:rPr>
        <w:t xml:space="preserve"> 60 </w:t>
      </w:r>
      <w:r>
        <w:rPr>
          <w:rFonts w:hint="eastAsia"/>
        </w:rPr>
        <w:t>年的預期壽命與法定</w:t>
      </w:r>
      <w:proofErr w:type="gramStart"/>
      <w:r>
        <w:rPr>
          <w:rFonts w:hint="eastAsia"/>
        </w:rPr>
        <w:t>盲</w:t>
      </w:r>
      <w:proofErr w:type="gramEnd"/>
      <w:r>
        <w:rPr>
          <w:rFonts w:hint="eastAsia"/>
        </w:rPr>
        <w:t>風險），認可罕見疾病定價（</w:t>
      </w:r>
      <w:r>
        <w:rPr>
          <w:rFonts w:hint="eastAsia"/>
        </w:rPr>
        <w:t>Rare Disease Pricing</w:t>
      </w:r>
      <w:r>
        <w:rPr>
          <w:rFonts w:hint="eastAsia"/>
        </w:rPr>
        <w:t>）。</w:t>
      </w:r>
    </w:p>
    <w:p w14:paraId="72FCDCB4" w14:textId="77777777" w:rsidR="00543B3B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>特約藥局（</w:t>
      </w:r>
      <w:r>
        <w:rPr>
          <w:rFonts w:hint="eastAsia"/>
        </w:rPr>
        <w:t>Specialty Pharmacy</w:t>
      </w:r>
      <w:r>
        <w:rPr>
          <w:rFonts w:hint="eastAsia"/>
        </w:rPr>
        <w:t>）</w:t>
      </w:r>
      <w:proofErr w:type="gramStart"/>
      <w:r>
        <w:rPr>
          <w:rFonts w:hint="eastAsia"/>
        </w:rPr>
        <w:t>直郵：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聯手特約藥局將藥物直接</w:t>
      </w:r>
      <w:proofErr w:type="gramStart"/>
      <w:r>
        <w:rPr>
          <w:rFonts w:hint="eastAsia"/>
        </w:rPr>
        <w:t>宅配至患者</w:t>
      </w:r>
      <w:proofErr w:type="gramEnd"/>
      <w:r>
        <w:rPr>
          <w:rFonts w:hint="eastAsia"/>
        </w:rPr>
        <w:t>家中，徹底解決視障患者的交通障礙，並確保極高的長期服藥依從性（</w:t>
      </w:r>
      <w:r>
        <w:rPr>
          <w:rFonts w:hint="eastAsia"/>
        </w:rPr>
        <w:t>Adherence</w:t>
      </w:r>
      <w:r>
        <w:rPr>
          <w:rFonts w:hint="eastAsia"/>
        </w:rPr>
        <w:t>）。</w:t>
      </w:r>
    </w:p>
    <w:p w14:paraId="4BE17D26" w14:textId="5E2E2819" w:rsidR="000E5188" w:rsidRDefault="000E5188" w:rsidP="00CC4A6B">
      <w:pPr>
        <w:pStyle w:val="a9"/>
        <w:numPr>
          <w:ilvl w:val="0"/>
          <w:numId w:val="8"/>
        </w:numPr>
        <w:ind w:leftChars="0"/>
        <w:jc w:val="both"/>
      </w:pPr>
      <w:r>
        <w:rPr>
          <w:rFonts w:hint="eastAsia"/>
        </w:rPr>
        <w:t xml:space="preserve">DRAGON 2 </w:t>
      </w:r>
      <w:r>
        <w:rPr>
          <w:rFonts w:hint="eastAsia"/>
        </w:rPr>
        <w:t>是為了配合日本</w:t>
      </w:r>
      <w:r>
        <w:rPr>
          <w:rFonts w:hint="eastAsia"/>
        </w:rPr>
        <w:t xml:space="preserve"> PMDA </w:t>
      </w:r>
      <w:r>
        <w:rPr>
          <w:rFonts w:hint="eastAsia"/>
        </w:rPr>
        <w:t>的</w:t>
      </w:r>
      <w:r>
        <w:rPr>
          <w:rFonts w:hint="eastAsia"/>
        </w:rPr>
        <w:t xml:space="preserve"> Sakigake</w:t>
      </w:r>
      <w:r>
        <w:rPr>
          <w:rFonts w:hint="eastAsia"/>
        </w:rPr>
        <w:t>（先驅審查認定）</w:t>
      </w:r>
      <w:r>
        <w:rPr>
          <w:rFonts w:hint="eastAsia"/>
        </w:rPr>
        <w:t xml:space="preserve"> </w:t>
      </w:r>
      <w:r>
        <w:rPr>
          <w:rFonts w:hint="eastAsia"/>
        </w:rPr>
        <w:t>而啟動。</w:t>
      </w:r>
      <w:r>
        <w:rPr>
          <w:rFonts w:hint="eastAsia"/>
        </w:rPr>
        <w:t xml:space="preserve">PMDA </w:t>
      </w:r>
      <w:r>
        <w:rPr>
          <w:rFonts w:hint="eastAsia"/>
        </w:rPr>
        <w:t>展現了極大的企圖心，希望日本能成為全球首批核准該藥的國家之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。我們已證實日本患者的</w:t>
      </w:r>
      <w:r>
        <w:rPr>
          <w:rFonts w:hint="eastAsia"/>
        </w:rPr>
        <w:t xml:space="preserve"> PK/PD </w:t>
      </w:r>
      <w:r>
        <w:rPr>
          <w:rFonts w:hint="eastAsia"/>
        </w:rPr>
        <w:t>與全球人群完全一致。目前三期部分已於今年</w:t>
      </w:r>
      <w:r>
        <w:rPr>
          <w:rFonts w:hint="eastAsia"/>
        </w:rPr>
        <w:t xml:space="preserve"> 1 </w:t>
      </w:r>
      <w:r>
        <w:rPr>
          <w:rFonts w:hint="eastAsia"/>
        </w:rPr>
        <w:t>月完成全數</w:t>
      </w:r>
      <w:r>
        <w:rPr>
          <w:rFonts w:hint="eastAsia"/>
        </w:rPr>
        <w:t xml:space="preserve"> 73 </w:t>
      </w:r>
      <w:r>
        <w:rPr>
          <w:rFonts w:hint="eastAsia"/>
        </w:rPr>
        <w:t>例患者（含</w:t>
      </w:r>
      <w:r>
        <w:rPr>
          <w:rFonts w:hint="eastAsia"/>
        </w:rPr>
        <w:t xml:space="preserve"> 15 </w:t>
      </w:r>
      <w:r>
        <w:rPr>
          <w:rFonts w:hint="eastAsia"/>
        </w:rPr>
        <w:t>例日本患者）的收案。我們已向</w:t>
      </w:r>
      <w:r>
        <w:rPr>
          <w:rFonts w:hint="eastAsia"/>
        </w:rPr>
        <w:t xml:space="preserve"> PMDA </w:t>
      </w:r>
      <w:r>
        <w:rPr>
          <w:rFonts w:hint="eastAsia"/>
        </w:rPr>
        <w:t>提交申報，主要依據</w:t>
      </w:r>
      <w:r>
        <w:rPr>
          <w:rFonts w:hint="eastAsia"/>
        </w:rPr>
        <w:t xml:space="preserve"> DRAGON 1 </w:t>
      </w:r>
      <w:r>
        <w:rPr>
          <w:rFonts w:hint="eastAsia"/>
        </w:rPr>
        <w:t>數據爭取快速核准。</w:t>
      </w:r>
    </w:p>
    <w:p w14:paraId="4C0CFA6C" w14:textId="0098FA66" w:rsidR="000E5188" w:rsidRDefault="00543B3B" w:rsidP="00CC4A6B">
      <w:pPr>
        <w:jc w:val="both"/>
      </w:pPr>
      <w:r>
        <w:rPr>
          <w:rFonts w:hint="eastAsia"/>
        </w:rPr>
        <w:t>結論</w:t>
      </w:r>
      <w:r>
        <w:rPr>
          <w:rFonts w:hint="eastAsia"/>
        </w:rPr>
        <w:t xml:space="preserve">: </w:t>
      </w:r>
    </w:p>
    <w:p w14:paraId="28EFDDD9" w14:textId="07CAD354" w:rsidR="000E5188" w:rsidRDefault="000E5188" w:rsidP="00CC4A6B">
      <w:pPr>
        <w:jc w:val="both"/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美國</w:t>
      </w:r>
      <w:r>
        <w:rPr>
          <w:rFonts w:hint="eastAsia"/>
        </w:rPr>
        <w:t xml:space="preserve"> FDA Priority Review </w:t>
      </w:r>
      <w:r>
        <w:rPr>
          <w:rFonts w:hint="eastAsia"/>
        </w:rPr>
        <w:t>審查中，</w:t>
      </w:r>
      <w:r>
        <w:rPr>
          <w:rFonts w:hint="eastAsia"/>
        </w:rPr>
        <w:t xml:space="preserve">PDUFA </w:t>
      </w:r>
      <w:r>
        <w:rPr>
          <w:rFonts w:hint="eastAsia"/>
        </w:rPr>
        <w:t>日期定於</w:t>
      </w:r>
      <w:r>
        <w:rPr>
          <w:rFonts w:hint="eastAsia"/>
        </w:rPr>
        <w:t xml:space="preserve"> 2027 </w:t>
      </w:r>
      <w:r>
        <w:rPr>
          <w:rFonts w:hint="eastAsia"/>
        </w:rPr>
        <w:t>年</w:t>
      </w:r>
      <w:r>
        <w:rPr>
          <w:rFonts w:hint="eastAsia"/>
        </w:rPr>
        <w:t xml:space="preserve"> 2 </w:t>
      </w:r>
      <w:r>
        <w:rPr>
          <w:rFonts w:hint="eastAsia"/>
        </w:rPr>
        <w:t>月</w:t>
      </w:r>
      <w:r>
        <w:rPr>
          <w:rFonts w:hint="eastAsia"/>
        </w:rPr>
        <w:t xml:space="preserve"> 12 </w:t>
      </w:r>
      <w:r>
        <w:rPr>
          <w:rFonts w:hint="eastAsia"/>
        </w:rPr>
        <w:t>日；日本</w:t>
      </w:r>
      <w:r>
        <w:rPr>
          <w:rFonts w:hint="eastAsia"/>
        </w:rPr>
        <w:t xml:space="preserve"> PMDA </w:t>
      </w:r>
      <w:r>
        <w:rPr>
          <w:rFonts w:hint="eastAsia"/>
        </w:rPr>
        <w:t>亦透過</w:t>
      </w:r>
      <w:r>
        <w:rPr>
          <w:rFonts w:hint="eastAsia"/>
        </w:rPr>
        <w:t xml:space="preserve"> Sakigake </w:t>
      </w:r>
      <w:r>
        <w:rPr>
          <w:rFonts w:hint="eastAsia"/>
        </w:rPr>
        <w:t>機制同步推進，核准時間點預期</w:t>
      </w:r>
      <w:r w:rsidR="00543B3B">
        <w:rPr>
          <w:rFonts w:hint="eastAsia"/>
        </w:rPr>
        <w:t>與</w:t>
      </w:r>
      <w:r>
        <w:rPr>
          <w:rFonts w:hint="eastAsia"/>
        </w:rPr>
        <w:t xml:space="preserve"> FDA</w:t>
      </w:r>
      <w:r w:rsidR="00543B3B">
        <w:rPr>
          <w:rFonts w:hint="eastAsia"/>
        </w:rPr>
        <w:t>很接近</w:t>
      </w:r>
      <w:r>
        <w:rPr>
          <w:rFonts w:hint="eastAsia"/>
        </w:rPr>
        <w:t>。</w:t>
      </w:r>
    </w:p>
    <w:p w14:paraId="151EA042" w14:textId="4620C4A4" w:rsidR="000E5188" w:rsidRDefault="000E5188" w:rsidP="00CC4A6B">
      <w:pPr>
        <w:jc w:val="both"/>
      </w:pPr>
      <w:r>
        <w:rPr>
          <w:rFonts w:hint="eastAsia"/>
        </w:rPr>
        <w:t>2.</w:t>
      </w:r>
      <w:r>
        <w:rPr>
          <w:rFonts w:hint="eastAsia"/>
        </w:rPr>
        <w:tab/>
        <w:t xml:space="preserve">DRAGON 1 </w:t>
      </w:r>
      <w:r>
        <w:rPr>
          <w:rFonts w:hint="eastAsia"/>
        </w:rPr>
        <w:t>試驗</w:t>
      </w:r>
      <w:proofErr w:type="gramStart"/>
      <w:r>
        <w:rPr>
          <w:rFonts w:hint="eastAsia"/>
        </w:rPr>
        <w:t>對側眼</w:t>
      </w:r>
      <w:proofErr w:type="gramEnd"/>
      <w:r>
        <w:rPr>
          <w:rFonts w:hint="eastAsia"/>
        </w:rPr>
        <w:t>（</w:t>
      </w:r>
      <w:r>
        <w:rPr>
          <w:rFonts w:hint="eastAsia"/>
        </w:rPr>
        <w:t>Fellow Eye</w:t>
      </w:r>
      <w:r>
        <w:rPr>
          <w:rFonts w:hint="eastAsia"/>
        </w:rPr>
        <w:t>）達到</w:t>
      </w:r>
      <w:r>
        <w:rPr>
          <w:rFonts w:hint="eastAsia"/>
        </w:rPr>
        <w:t xml:space="preserve"> 33% </w:t>
      </w:r>
      <w:r>
        <w:rPr>
          <w:rFonts w:hint="eastAsia"/>
        </w:rPr>
        <w:t>減緩（具統計顯著性），</w:t>
      </w:r>
      <w:r w:rsidR="00543B3B">
        <w:rPr>
          <w:rFonts w:hint="eastAsia"/>
        </w:rPr>
        <w:t>證明對雙眼都有治療效果</w:t>
      </w:r>
      <w:r>
        <w:rPr>
          <w:rFonts w:hint="eastAsia"/>
        </w:rPr>
        <w:t>。</w:t>
      </w:r>
    </w:p>
    <w:p w14:paraId="6C61DF25" w14:textId="26EC4009" w:rsidR="00356BC8" w:rsidRDefault="000E5188" w:rsidP="00CC4A6B">
      <w:pPr>
        <w:jc w:val="both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全美</w:t>
      </w:r>
      <w:r>
        <w:rPr>
          <w:rFonts w:hint="eastAsia"/>
        </w:rPr>
        <w:t xml:space="preserve"> 20,000 </w:t>
      </w:r>
      <w:r>
        <w:rPr>
          <w:rFonts w:hint="eastAsia"/>
        </w:rPr>
        <w:t>名已診斷患者</w:t>
      </w:r>
      <w:r w:rsidR="00610B3B">
        <w:rPr>
          <w:rFonts w:hint="eastAsia"/>
        </w:rPr>
        <w:t>由約</w:t>
      </w:r>
      <w:r w:rsidR="00610B3B">
        <w:rPr>
          <w:rFonts w:hint="eastAsia"/>
        </w:rPr>
        <w:t>100</w:t>
      </w:r>
      <w:r w:rsidR="00610B3B">
        <w:rPr>
          <w:rFonts w:hint="eastAsia"/>
        </w:rPr>
        <w:t>位</w:t>
      </w:r>
      <w:r>
        <w:rPr>
          <w:rFonts w:hint="eastAsia"/>
        </w:rPr>
        <w:t xml:space="preserve"> IRD </w:t>
      </w:r>
      <w:r>
        <w:rPr>
          <w:rFonts w:hint="eastAsia"/>
        </w:rPr>
        <w:t>專家</w:t>
      </w:r>
      <w:r w:rsidR="00610B3B">
        <w:rPr>
          <w:rFonts w:hint="eastAsia"/>
        </w:rPr>
        <w:t>追蹤</w:t>
      </w:r>
      <w:r>
        <w:rPr>
          <w:rFonts w:hint="eastAsia"/>
        </w:rPr>
        <w:t>，搭配特約藥局宅配</w:t>
      </w:r>
      <w:r w:rsidR="00610B3B">
        <w:rPr>
          <w:rFonts w:hint="eastAsia"/>
        </w:rPr>
        <w:t>。</w:t>
      </w:r>
      <w:r>
        <w:rPr>
          <w:rFonts w:hint="eastAsia"/>
        </w:rPr>
        <w:t>罕見病定價</w:t>
      </w:r>
      <w:r w:rsidR="00610B3B">
        <w:rPr>
          <w:rFonts w:hint="eastAsia"/>
        </w:rPr>
        <w:t>與保險公司有共識基礎</w:t>
      </w:r>
      <w:r>
        <w:rPr>
          <w:rFonts w:hint="eastAsia"/>
        </w:rPr>
        <w:t>。</w:t>
      </w:r>
    </w:p>
    <w:sectPr w:rsidR="00356BC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AAE62" w14:textId="77777777" w:rsidR="0085630C" w:rsidRDefault="0085630C" w:rsidP="00B675F9">
      <w:pPr>
        <w:spacing w:line="240" w:lineRule="auto"/>
      </w:pPr>
      <w:r>
        <w:separator/>
      </w:r>
    </w:p>
  </w:endnote>
  <w:endnote w:type="continuationSeparator" w:id="0">
    <w:p w14:paraId="1FDA94B9" w14:textId="77777777" w:rsidR="0085630C" w:rsidRDefault="0085630C" w:rsidP="00B675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D0A824-D753-4D59-BD98-844CC2EBDD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31D26A-0627-46AC-A665-78730E79B2E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6A4F8" w14:textId="77777777" w:rsidR="0085630C" w:rsidRDefault="0085630C" w:rsidP="00B675F9">
      <w:pPr>
        <w:spacing w:line="240" w:lineRule="auto"/>
      </w:pPr>
      <w:r>
        <w:separator/>
      </w:r>
    </w:p>
  </w:footnote>
  <w:footnote w:type="continuationSeparator" w:id="0">
    <w:p w14:paraId="00D0E2F3" w14:textId="77777777" w:rsidR="0085630C" w:rsidRDefault="0085630C" w:rsidP="00B675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23295"/>
    <w:multiLevelType w:val="hybridMultilevel"/>
    <w:tmpl w:val="3CCA6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99280D4">
      <w:start w:val="1"/>
      <w:numFmt w:val="decimal"/>
      <w:lvlText w:val="%2."/>
      <w:lvlJc w:val="left"/>
      <w:pPr>
        <w:ind w:left="660" w:hanging="1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21D77A7"/>
    <w:multiLevelType w:val="hybridMultilevel"/>
    <w:tmpl w:val="BB985E36"/>
    <w:lvl w:ilvl="0" w:tplc="0409001B">
      <w:start w:val="1"/>
      <w:numFmt w:val="lowerRoman"/>
      <w:lvlText w:val="%1."/>
      <w:lvlJc w:val="right"/>
      <w:pPr>
        <w:ind w:left="1200" w:hanging="480"/>
      </w:pPr>
    </w:lvl>
    <w:lvl w:ilvl="1" w:tplc="0409001B">
      <w:start w:val="1"/>
      <w:numFmt w:val="lowerRoman"/>
      <w:lvlText w:val="%2."/>
      <w:lvlJc w:val="righ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39C44D85"/>
    <w:multiLevelType w:val="multilevel"/>
    <w:tmpl w:val="742ADC8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1C4D13"/>
    <w:multiLevelType w:val="multilevel"/>
    <w:tmpl w:val="0DE8CCC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DE46D72"/>
    <w:multiLevelType w:val="multilevel"/>
    <w:tmpl w:val="1AD6C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934F24"/>
    <w:multiLevelType w:val="multilevel"/>
    <w:tmpl w:val="C3B6D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80268D"/>
    <w:multiLevelType w:val="hybridMultilevel"/>
    <w:tmpl w:val="63B0E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CCE66DF"/>
    <w:multiLevelType w:val="multilevel"/>
    <w:tmpl w:val="7092140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5494C79"/>
    <w:multiLevelType w:val="hybridMultilevel"/>
    <w:tmpl w:val="0B96BC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70060372">
    <w:abstractNumId w:val="4"/>
  </w:num>
  <w:num w:numId="2" w16cid:durableId="564265150">
    <w:abstractNumId w:val="5"/>
  </w:num>
  <w:num w:numId="3" w16cid:durableId="1727991948">
    <w:abstractNumId w:val="7"/>
  </w:num>
  <w:num w:numId="4" w16cid:durableId="877932472">
    <w:abstractNumId w:val="2"/>
  </w:num>
  <w:num w:numId="5" w16cid:durableId="394864608">
    <w:abstractNumId w:val="3"/>
  </w:num>
  <w:num w:numId="6" w16cid:durableId="1292125697">
    <w:abstractNumId w:val="6"/>
  </w:num>
  <w:num w:numId="7" w16cid:durableId="609631035">
    <w:abstractNumId w:val="8"/>
  </w:num>
  <w:num w:numId="8" w16cid:durableId="1184856332">
    <w:abstractNumId w:val="0"/>
  </w:num>
  <w:num w:numId="9" w16cid:durableId="547298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BC8"/>
    <w:rsid w:val="000E5188"/>
    <w:rsid w:val="001F3312"/>
    <w:rsid w:val="00356BC8"/>
    <w:rsid w:val="004E67A1"/>
    <w:rsid w:val="00515876"/>
    <w:rsid w:val="00543B3B"/>
    <w:rsid w:val="00610B3B"/>
    <w:rsid w:val="00663EC8"/>
    <w:rsid w:val="0085630C"/>
    <w:rsid w:val="00A1714D"/>
    <w:rsid w:val="00B675F9"/>
    <w:rsid w:val="00CC4A6B"/>
    <w:rsid w:val="00E3477F"/>
    <w:rsid w:val="00EE78DB"/>
    <w:rsid w:val="00FE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C8046"/>
  <w15:docId w15:val="{F8268993-3BB0-4991-87B7-894DCEC3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675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675F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675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675F9"/>
    <w:rPr>
      <w:sz w:val="20"/>
      <w:szCs w:val="20"/>
    </w:rPr>
  </w:style>
  <w:style w:type="paragraph" w:styleId="a9">
    <w:name w:val="List Paragraph"/>
    <w:basedOn w:val="a"/>
    <w:uiPriority w:val="34"/>
    <w:qFormat/>
    <w:rsid w:val="004E67A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2026-09-15T18:39:00Z</dcterms:created>
  <dcterms:modified xsi:type="dcterms:W3CDTF">2026-09-16T07:45:00Z</dcterms:modified>
</cp:coreProperties>
</file>