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960" w:type="pct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40"/>
      </w:tblGrid>
      <w:tr w:rsidR="00FF5C7C" w:rsidRPr="00DB7707" w14:paraId="21E13327" w14:textId="77777777" w:rsidTr="00493302">
        <w:tc>
          <w:tcPr>
            <w:tcW w:w="3410" w:type="pct"/>
          </w:tcPr>
          <w:p w14:paraId="4E6BA5CF" w14:textId="77777777" w:rsidR="00FF5C7C" w:rsidRPr="00DB7707" w:rsidRDefault="00FF5C7C" w:rsidP="00493302">
            <w:pPr>
              <w:spacing w:line="360" w:lineRule="exact"/>
              <w:jc w:val="both"/>
              <w:rPr>
                <w:rFonts w:ascii="Arial" w:eastAsia="微軟正黑體" w:hAnsi="Arial" w:cs="Arial"/>
                <w:iCs/>
                <w:sz w:val="20"/>
                <w:szCs w:val="20"/>
              </w:rPr>
            </w:pPr>
            <w:r w:rsidRPr="00DB7D72">
              <w:rPr>
                <w:rFonts w:ascii="Arial" w:eastAsia="微軟正黑體" w:hAnsi="Arial" w:cs="Arial" w:hint="eastAsia"/>
                <w:iCs/>
                <w:sz w:val="20"/>
                <w:szCs w:val="20"/>
              </w:rPr>
              <w:t>金像電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2Q26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營收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242.79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億元，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+26%QOQ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，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+75%YOY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，主要受惠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AI Server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新專案及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1.6T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相關產品需求增加；獲利方面，毛利率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34.7%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，較上季提升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0.3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個百分點，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2Q26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毛利率未隨營收規模同步提升，係因部分新產品仍處良率爬坡階段，加上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CCL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等原材料漲價，雖原材料漲價基本上可對客戶完全轉嫁，但實際價格調整存在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1–2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個月時間差，隨新產品良率持續改善，與原材料漲價逐步反映至售價，預期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3Q26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毛利率仍具改善空間，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2Q26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營益率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26.4%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，單季稅後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EPS 9.28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元。另外，金電像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ASIC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大客戶下一</w:t>
            </w:r>
            <w:r w:rsidRPr="00DB7D72">
              <w:rPr>
                <w:rFonts w:ascii="Arial" w:eastAsia="微軟正黑體" w:hAnsi="Arial" w:cs="Arial" w:hint="eastAsia"/>
                <w:iCs/>
                <w:sz w:val="20"/>
                <w:szCs w:val="20"/>
              </w:rPr>
              <w:t>代產品將轉向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HDI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設計，金像電過往以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HLC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技術為核心，認為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HDI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等高階產品初期雖需經歷良率學習曲線，但成熟後長期毛利率有望高於既有平均水準。金像電產品組合持續向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Server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集中，截至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1H26 Server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、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Networking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、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NB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、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Others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營收佔比分別達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78%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、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15%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、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5%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、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2%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，其中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Server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包含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General Server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與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AI Server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，而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AI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相關營收已佔整體營收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40~50%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；相較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2022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年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Server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佔比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60%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、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2025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年佔比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74%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，可見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AI</w:t>
            </w:r>
            <w:r w:rsidRPr="00DB7D72">
              <w:rPr>
                <w:rFonts w:ascii="Arial" w:eastAsia="微軟正黑體" w:hAnsi="Arial" w:cs="Arial"/>
                <w:iCs/>
                <w:sz w:val="20"/>
                <w:szCs w:val="20"/>
              </w:rPr>
              <w:t>基礎建設需求持續推升金像電產品組合高階化，亦為</w:t>
            </w:r>
            <w:r w:rsidRPr="00DB7D72">
              <w:rPr>
                <w:rFonts w:ascii="Arial" w:eastAsia="微軟正黑體" w:hAnsi="Arial" w:cs="Arial" w:hint="eastAsia"/>
                <w:iCs/>
                <w:sz w:val="20"/>
                <w:szCs w:val="20"/>
              </w:rPr>
              <w:t>近年營收與獲利快速成長的主要動能。</w:t>
            </w:r>
          </w:p>
          <w:p w14:paraId="12C4C5B4" w14:textId="77777777" w:rsidR="00FF5C7C" w:rsidRPr="00DB7707" w:rsidRDefault="00FF5C7C" w:rsidP="00493302">
            <w:pPr>
              <w:spacing w:line="360" w:lineRule="exact"/>
              <w:jc w:val="both"/>
              <w:rPr>
                <w:rFonts w:ascii="Arial" w:eastAsia="微軟正黑體" w:hAnsi="Arial" w:cs="Arial" w:hint="eastAsia"/>
                <w:iCs/>
                <w:sz w:val="20"/>
                <w:szCs w:val="20"/>
              </w:rPr>
            </w:pPr>
          </w:p>
        </w:tc>
      </w:tr>
      <w:tr w:rsidR="00FF5C7C" w:rsidRPr="00DB7707" w14:paraId="064213F2" w14:textId="77777777" w:rsidTr="00493302">
        <w:tc>
          <w:tcPr>
            <w:tcW w:w="3410" w:type="pct"/>
          </w:tcPr>
          <w:p w14:paraId="577431D0" w14:textId="77777777" w:rsidR="00FF5C7C" w:rsidRDefault="00FF5C7C" w:rsidP="00493302">
            <w:pPr>
              <w:spacing w:line="360" w:lineRule="exact"/>
              <w:jc w:val="both"/>
              <w:rPr>
                <w:rFonts w:ascii="Arial" w:eastAsia="微軟正黑體" w:hAnsi="Arial" w:cs="Arial" w:hint="eastAsia"/>
                <w:bCs/>
                <w:iCs/>
                <w:sz w:val="20"/>
              </w:rPr>
            </w:pPr>
            <w:r w:rsidRPr="001D5103">
              <w:rPr>
                <w:rFonts w:ascii="Arial" w:eastAsia="微軟正黑體" w:hAnsi="Arial" w:cs="Arial" w:hint="eastAsia"/>
                <w:bCs/>
                <w:iCs/>
                <w:sz w:val="20"/>
              </w:rPr>
              <w:t>金像電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1H26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單月總產值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74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億元；展望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2H26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，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Server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、高階交換器需求持續向上；產值方面，預估單月總產值將提升至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94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億元，其中台灣中壢廠、中國蘇州廠、中國常熟一廠、常熟二廠、泰國巴真廠單月產值分別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30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億元、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38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億元、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10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億元、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3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億元、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13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億元，單季產值增量最顯著來自泰國巴真廠，由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6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億元翻倍提升至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13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億元，且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13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億元仍可能低估其實際產出能力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(4Q26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產值將持續增加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)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。產能配置方面，公司逐步將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General Server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及中低階產品由台灣、蘇州移往泰國及常熟生產，以釋放台灣高階產能承接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AI Server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；</w:t>
            </w:r>
            <w:r w:rsidRPr="001D5103">
              <w:rPr>
                <w:rFonts w:ascii="Arial" w:eastAsia="微軟正黑體" w:hAnsi="Arial" w:cs="Arial" w:hint="eastAsia"/>
                <w:bCs/>
                <w:iCs/>
                <w:sz w:val="20"/>
              </w:rPr>
              <w:t>台灣仍為公司最高階技術及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AI Server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、高階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Networking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主要生產基地，蘇州則已由過去虧損基地轉型至具備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AI Server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及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Networking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量產能力，常熟一廠亦由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NB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逐步轉型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Server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，產品能力從低階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Server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提升至中階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Server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，泰國目前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AI Server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佔比仍低，主要處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General Server</w:t>
            </w:r>
            <w:r w:rsidRPr="001D5103">
              <w:rPr>
                <w:rFonts w:ascii="Arial" w:eastAsia="微軟正黑體" w:hAnsi="Arial" w:cs="Arial"/>
                <w:bCs/>
                <w:iCs/>
                <w:sz w:val="20"/>
              </w:rPr>
              <w:t>轉移及相關產品認證階段。</w:t>
            </w:r>
          </w:p>
          <w:p w14:paraId="1FA7DFD1" w14:textId="77777777" w:rsidR="00FF5C7C" w:rsidRPr="00DB7707" w:rsidRDefault="00FF5C7C" w:rsidP="00493302">
            <w:pPr>
              <w:spacing w:line="360" w:lineRule="exact"/>
              <w:jc w:val="both"/>
              <w:rPr>
                <w:rFonts w:ascii="Arial" w:eastAsia="微軟正黑體" w:hAnsi="Arial" w:cs="Arial" w:hint="eastAsia"/>
                <w:bCs/>
                <w:iCs/>
                <w:sz w:val="20"/>
              </w:rPr>
            </w:pPr>
          </w:p>
        </w:tc>
      </w:tr>
      <w:tr w:rsidR="00FF5C7C" w:rsidRPr="00DB7707" w14:paraId="48D51CD6" w14:textId="77777777" w:rsidTr="00493302">
        <w:tc>
          <w:tcPr>
            <w:tcW w:w="3410" w:type="pct"/>
          </w:tcPr>
          <w:p w14:paraId="3003D52D" w14:textId="77777777" w:rsidR="00FF5C7C" w:rsidRPr="00F27C1B" w:rsidRDefault="00FF5C7C" w:rsidP="00493302">
            <w:pPr>
              <w:spacing w:line="360" w:lineRule="exact"/>
              <w:jc w:val="both"/>
              <w:rPr>
                <w:rFonts w:ascii="Arial" w:eastAsia="微軟正黑體" w:hAnsi="Arial" w:cs="Arial" w:hint="eastAsia"/>
                <w:bCs/>
                <w:iCs/>
                <w:sz w:val="20"/>
              </w:rPr>
            </w:pPr>
            <w:r w:rsidRPr="001974AF">
              <w:rPr>
                <w:rFonts w:ascii="Arial" w:eastAsia="微軟正黑體" w:hAnsi="Arial" w:cs="Arial" w:hint="eastAsia"/>
                <w:bCs/>
                <w:iCs/>
                <w:sz w:val="20"/>
              </w:rPr>
              <w:t>預期金像電取得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ASIC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大客戶新一代與下一代產品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UBB 50%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以上市佔率，除了既有大客戶，亦取得另一家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ASIC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客戶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OAM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訂單，預計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2026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年底小量出貨，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2027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年進一步放量；展望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2027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年，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ASIC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大客戶下一代產品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UBB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架構由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HLC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升級至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HDI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，依目前設計方向，將以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HLC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作為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Core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，上下進行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HDI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增層，總層數將達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30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層以上，公司目前常熟二廠已具備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6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、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7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、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8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壓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HDI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能力，台灣及蘇州亦具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HDI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製程能力，且各廠持續進行技術交流，故公司尚約一年時間完成下一代產品量產準備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(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客戶預計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2H27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量產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)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。至於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Networking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亦將進入規格升級週期，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2026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年交換器仍以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800G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為主，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2027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年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1.6T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交換器將顯著放量。產能擴充方面，中長期方面，未來三年規劃至少再增加四座新廠，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2H27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預計蘇州新廠及泰國二廠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(HDI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厚板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)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投產，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1H28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另有一座蘇州新廠將開出，台灣新廠則預計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2029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年投入生產，公司已開始規劃泰國三廠；新增單一工廠滿載單月產值初估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10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億元。至於短期將透過既有廠區分段製程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(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乾製程、濕製程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)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去瓶頸加快產能釋放，並利用本次籌資擴充乾製程與鑽孔設備，由於高階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HDI</w:t>
            </w:r>
            <w:r w:rsidRPr="001974AF">
              <w:rPr>
                <w:rFonts w:ascii="Arial" w:eastAsia="微軟正黑體" w:hAnsi="Arial" w:cs="Arial"/>
                <w:bCs/>
                <w:iCs/>
                <w:sz w:val="20"/>
              </w:rPr>
              <w:t>產品對雷射鑽孔需求大幅增加，將需要大量新增雷射鑽孔機設備。</w:t>
            </w:r>
          </w:p>
          <w:p w14:paraId="1E15E3E9" w14:textId="77777777" w:rsidR="00FF5C7C" w:rsidRPr="00DB7707" w:rsidRDefault="00FF5C7C" w:rsidP="00493302">
            <w:pPr>
              <w:spacing w:line="360" w:lineRule="exact"/>
              <w:jc w:val="both"/>
              <w:rPr>
                <w:rFonts w:ascii="Arial" w:eastAsia="微軟正黑體" w:hAnsi="Arial" w:cs="Arial"/>
                <w:bCs/>
                <w:iCs/>
                <w:sz w:val="20"/>
              </w:rPr>
            </w:pPr>
          </w:p>
        </w:tc>
      </w:tr>
    </w:tbl>
    <w:p w14:paraId="71F33E5A" w14:textId="77777777" w:rsidR="00FF5C7C" w:rsidRPr="00FF5C7C" w:rsidRDefault="00FF5C7C">
      <w:pPr>
        <w:rPr>
          <w:rFonts w:hint="eastAsia"/>
        </w:rPr>
      </w:pPr>
    </w:p>
    <w:sectPr w:rsidR="00FF5C7C" w:rsidRPr="00FF5C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7C"/>
    <w:rsid w:val="00D65EAD"/>
    <w:rsid w:val="00FF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09F9"/>
  <w15:chartTrackingRefBased/>
  <w15:docId w15:val="{48C1CE3E-0054-8849-B353-05EE091F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C7C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5C7C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C7C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C7C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C7C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C7C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C7C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C7C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C7C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C7C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5C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F5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F5C7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5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F5C7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5C7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5C7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5C7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5C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C7C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F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C7C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F5C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C7C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F5C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C7C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FF5C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C7C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F5C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5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鄭羽涵</dc:creator>
  <cp:keywords/>
  <dc:description/>
  <cp:lastModifiedBy>鄭羽涵</cp:lastModifiedBy>
  <cp:revision>1</cp:revision>
  <dcterms:created xsi:type="dcterms:W3CDTF">2026-10-02T03:41:00Z</dcterms:created>
  <dcterms:modified xsi:type="dcterms:W3CDTF">2026-10-02T03:41:00Z</dcterms:modified>
</cp:coreProperties>
</file>