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69B5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分析内容概述</w:t>
      </w:r>
    </w:p>
    <w:p w14:paraId="03EC7150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下面可以作为整个项目的“一页式总览”。其中“事实”来自年报、半年报及行业数据，“判断”是基于财务报表的分析结论。</w:t>
      </w:r>
    </w:p>
    <w:p w14:paraId="07CD369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一、三家公司总体定位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"/>
        <w:gridCol w:w="2401"/>
        <w:gridCol w:w="2576"/>
        <w:gridCol w:w="2913"/>
      </w:tblGrid>
      <w:tr w14:paraId="37B5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5" w:type="pct"/>
            <w:shd w:val="clear"/>
            <w:vAlign w:val="center"/>
          </w:tcPr>
          <w:p w14:paraId="38AF56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公司</w:t>
            </w:r>
          </w:p>
        </w:tc>
        <w:tc>
          <w:tcPr>
            <w:tcW w:w="1411" w:type="pct"/>
            <w:shd w:val="clear"/>
            <w:vAlign w:val="center"/>
          </w:tcPr>
          <w:p w14:paraId="149227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商业模式与战略定位</w:t>
            </w:r>
          </w:p>
        </w:tc>
        <w:tc>
          <w:tcPr>
            <w:tcW w:w="1515" w:type="pct"/>
            <w:shd w:val="clear"/>
            <w:vAlign w:val="center"/>
          </w:tcPr>
          <w:p w14:paraId="64CE02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财务画像</w:t>
            </w:r>
          </w:p>
        </w:tc>
        <w:tc>
          <w:tcPr>
            <w:tcW w:w="1707" w:type="pct"/>
            <w:shd w:val="clear"/>
            <w:vAlign w:val="center"/>
          </w:tcPr>
          <w:p w14:paraId="0ECEF7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核心判断</w:t>
            </w:r>
          </w:p>
        </w:tc>
      </w:tr>
      <w:tr w14:paraId="38980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" w:type="pct"/>
            <w:shd w:val="clear"/>
            <w:vAlign w:val="center"/>
          </w:tcPr>
          <w:p w14:paraId="10B83C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格力电器</w:t>
            </w:r>
          </w:p>
        </w:tc>
        <w:tc>
          <w:tcPr>
            <w:tcW w:w="1411" w:type="pct"/>
            <w:shd w:val="clear"/>
            <w:vAlign w:val="center"/>
          </w:tcPr>
          <w:p w14:paraId="7DE254C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以家用及中央空调为核心，向工业制品、绿色能源和其他消费电器扩展</w:t>
            </w:r>
          </w:p>
        </w:tc>
        <w:tc>
          <w:tcPr>
            <w:tcW w:w="1515" w:type="pct"/>
            <w:shd w:val="clear"/>
            <w:vAlign w:val="center"/>
          </w:tcPr>
          <w:p w14:paraId="0131288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盈利率高、现金流弹性强，但2023—2025年收入持续下降</w:t>
            </w:r>
          </w:p>
        </w:tc>
        <w:tc>
          <w:tcPr>
            <w:tcW w:w="1707" w:type="pct"/>
            <w:shd w:val="clear"/>
            <w:vAlign w:val="center"/>
          </w:tcPr>
          <w:p w14:paraId="44E3E78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“专业化、高盈利”，但品类集中、内需和空调周期暴露较大</w:t>
            </w:r>
          </w:p>
        </w:tc>
      </w:tr>
      <w:tr w14:paraId="00547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" w:type="pct"/>
            <w:shd w:val="clear"/>
            <w:vAlign w:val="center"/>
          </w:tcPr>
          <w:p w14:paraId="4A68031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美的集团</w:t>
            </w:r>
          </w:p>
        </w:tc>
        <w:tc>
          <w:tcPr>
            <w:tcW w:w="1411" w:type="pct"/>
            <w:shd w:val="clear"/>
            <w:vAlign w:val="center"/>
          </w:tcPr>
          <w:p w14:paraId="131B86D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全品类家电、核心零部件、楼宇科技、工业技术和机器人并行</w:t>
            </w:r>
          </w:p>
        </w:tc>
        <w:tc>
          <w:tcPr>
            <w:tcW w:w="1515" w:type="pct"/>
            <w:shd w:val="clear"/>
            <w:vAlign w:val="center"/>
          </w:tcPr>
          <w:p w14:paraId="1844D81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规模最大、收入利润增长最好，海外和ToB业务较均衡</w:t>
            </w:r>
          </w:p>
        </w:tc>
        <w:tc>
          <w:tcPr>
            <w:tcW w:w="1707" w:type="pct"/>
            <w:shd w:val="clear"/>
            <w:vAlign w:val="center"/>
          </w:tcPr>
          <w:p w14:paraId="1F3BE8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“平台化、规模化”，综合经营韧性最强，但ROE有所下降</w:t>
            </w:r>
          </w:p>
        </w:tc>
      </w:tr>
      <w:tr w14:paraId="1E6E7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" w:type="pct"/>
            <w:shd w:val="clear"/>
            <w:vAlign w:val="center"/>
          </w:tcPr>
          <w:p w14:paraId="160CAF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海尔智家</w:t>
            </w:r>
          </w:p>
        </w:tc>
        <w:tc>
          <w:tcPr>
            <w:tcW w:w="1411" w:type="pct"/>
            <w:shd w:val="clear"/>
            <w:vAlign w:val="center"/>
          </w:tcPr>
          <w:p w14:paraId="124A02E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冰洗优势突出，多品牌、高端化及全球本土化经营</w:t>
            </w:r>
          </w:p>
        </w:tc>
        <w:tc>
          <w:tcPr>
            <w:tcW w:w="1515" w:type="pct"/>
            <w:shd w:val="clear"/>
            <w:vAlign w:val="center"/>
          </w:tcPr>
          <w:p w14:paraId="4E0A809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海外收入过半、现金流稳定，但净利率低于格力和美的</w:t>
            </w:r>
          </w:p>
        </w:tc>
        <w:tc>
          <w:tcPr>
            <w:tcW w:w="1707" w:type="pct"/>
            <w:shd w:val="clear"/>
            <w:vAlign w:val="center"/>
          </w:tcPr>
          <w:p w14:paraId="15482B8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“全球化、高端化”，分散国内周期风险，但面临汇率、并购整合和海外成本压力</w:t>
            </w:r>
          </w:p>
        </w:tc>
      </w:tr>
    </w:tbl>
    <w:p w14:paraId="6AAB3D9C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二、第一阶段：企业基本面</w:t>
      </w:r>
    </w:p>
    <w:p w14:paraId="5EF96E6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 发展路径</w:t>
      </w:r>
    </w:p>
    <w:p w14:paraId="0112DE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格力：1991年成立，由空调专业化企业发展为消费电器、工业制品及绿色能源集团。</w:t>
      </w:r>
    </w:p>
    <w:p w14:paraId="18137E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美的：1968年创业，从家电制造扩展到全品类、核心部件、楼宇科技、工业技术和库卡机器人。</w:t>
      </w:r>
    </w:p>
    <w:p w14:paraId="357769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海尔：前身为1984年的青岛电冰箱总厂，通过整合GE Appliances、Fisher &amp; Paykel、Candy等资产形成全球品牌体系。</w:t>
      </w:r>
    </w:p>
    <w:p w14:paraId="640B6FE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 品牌和业务结构</w:t>
      </w:r>
    </w:p>
    <w:p w14:paraId="749272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格力：格力、晶弘、大松、凌达；核心仍为空调。</w:t>
      </w:r>
    </w:p>
    <w:p w14:paraId="7217B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美的：美的、COLMO、华凌、东芝、Comfee；ToC与ToB并行。</w:t>
      </w:r>
    </w:p>
    <w:p w14:paraId="6AF2C9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海尔：海尔、卡萨帝、统帅、GE Appliances、Fisher &amp; Paykel、Candy；冰洗和高端品牌优势明显。</w:t>
      </w:r>
    </w:p>
    <w:p w14:paraId="29DF3FB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 控制权与治理</w:t>
      </w:r>
    </w:p>
    <w:p w14:paraId="2D1845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格力：无控股股东、无实际控制人，股权相对分散；珠海明骏为重要股东。</w:t>
      </w:r>
    </w:p>
    <w:p w14:paraId="3D1FE1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美的：美的控股为控股股东，何享健为实际控制人，方洪波属于职业经理人核心。</w:t>
      </w:r>
    </w:p>
    <w:p w14:paraId="0F8386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海尔：海尔集团为控股股东，具有A/H/D多市场股权结构。</w:t>
      </w:r>
    </w:p>
    <w:p w14:paraId="5EE79E70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分析判断：格力治理更接近分散股权下的核心管理层主导；美的控制权最清晰；海尔的集团控制与多市场架构最复杂。</w:t>
      </w:r>
    </w:p>
    <w:p w14:paraId="4643D95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三、第二阶段：财务表现</w:t>
      </w:r>
    </w:p>
    <w:p w14:paraId="22D80C1F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2025年核心指标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440"/>
        <w:gridCol w:w="1262"/>
        <w:gridCol w:w="781"/>
        <w:gridCol w:w="781"/>
        <w:gridCol w:w="780"/>
        <w:gridCol w:w="1277"/>
      </w:tblGrid>
      <w:tr w14:paraId="7F42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2DBA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公司</w:t>
            </w:r>
          </w:p>
        </w:tc>
        <w:tc>
          <w:tcPr>
            <w:tcW w:w="0" w:type="auto"/>
            <w:shd w:val="clear"/>
            <w:vAlign w:val="center"/>
          </w:tcPr>
          <w:p w14:paraId="2D8687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营收</w:t>
            </w:r>
          </w:p>
        </w:tc>
        <w:tc>
          <w:tcPr>
            <w:tcW w:w="0" w:type="auto"/>
            <w:shd w:val="clear"/>
            <w:vAlign w:val="center"/>
          </w:tcPr>
          <w:p w14:paraId="625003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归母净利润</w:t>
            </w:r>
          </w:p>
        </w:tc>
        <w:tc>
          <w:tcPr>
            <w:tcW w:w="0" w:type="auto"/>
            <w:shd w:val="clear"/>
            <w:vAlign w:val="center"/>
          </w:tcPr>
          <w:p w14:paraId="69187A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毛利率</w:t>
            </w:r>
          </w:p>
        </w:tc>
        <w:tc>
          <w:tcPr>
            <w:tcW w:w="0" w:type="auto"/>
            <w:shd w:val="clear"/>
            <w:vAlign w:val="center"/>
          </w:tcPr>
          <w:p w14:paraId="7A1943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净利率</w:t>
            </w:r>
          </w:p>
        </w:tc>
        <w:tc>
          <w:tcPr>
            <w:tcW w:w="0" w:type="auto"/>
            <w:shd w:val="clear"/>
            <w:vAlign w:val="center"/>
          </w:tcPr>
          <w:p w14:paraId="208563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ROE</w:t>
            </w:r>
          </w:p>
        </w:tc>
        <w:tc>
          <w:tcPr>
            <w:tcW w:w="0" w:type="auto"/>
            <w:shd w:val="clear"/>
            <w:vAlign w:val="center"/>
          </w:tcPr>
          <w:p w14:paraId="48E77A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经营现金流</w:t>
            </w:r>
          </w:p>
        </w:tc>
      </w:tr>
      <w:tr w14:paraId="2E72A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E301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格力</w:t>
            </w:r>
          </w:p>
        </w:tc>
        <w:tc>
          <w:tcPr>
            <w:tcW w:w="0" w:type="auto"/>
            <w:shd w:val="clear"/>
            <w:vAlign w:val="center"/>
          </w:tcPr>
          <w:p w14:paraId="41F1E1E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1,704.47亿元</w:t>
            </w:r>
          </w:p>
        </w:tc>
        <w:tc>
          <w:tcPr>
            <w:tcW w:w="0" w:type="auto"/>
            <w:shd w:val="clear"/>
            <w:vAlign w:val="center"/>
          </w:tcPr>
          <w:p w14:paraId="6B83DD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290.03亿元</w:t>
            </w:r>
          </w:p>
        </w:tc>
        <w:tc>
          <w:tcPr>
            <w:tcW w:w="0" w:type="auto"/>
            <w:shd w:val="clear"/>
            <w:vAlign w:val="center"/>
          </w:tcPr>
          <w:p w14:paraId="78B4706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29.81%</w:t>
            </w:r>
          </w:p>
        </w:tc>
        <w:tc>
          <w:tcPr>
            <w:tcW w:w="0" w:type="auto"/>
            <w:shd w:val="clear"/>
            <w:vAlign w:val="center"/>
          </w:tcPr>
          <w:p w14:paraId="3168BE6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17.02%</w:t>
            </w:r>
          </w:p>
        </w:tc>
        <w:tc>
          <w:tcPr>
            <w:tcW w:w="0" w:type="auto"/>
            <w:shd w:val="clear"/>
            <w:vAlign w:val="center"/>
          </w:tcPr>
          <w:p w14:paraId="6330FD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20.30%</w:t>
            </w:r>
          </w:p>
        </w:tc>
        <w:tc>
          <w:tcPr>
            <w:tcW w:w="0" w:type="auto"/>
            <w:shd w:val="clear"/>
            <w:vAlign w:val="center"/>
          </w:tcPr>
          <w:p w14:paraId="528DC19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463.83亿元</w:t>
            </w:r>
          </w:p>
        </w:tc>
      </w:tr>
      <w:tr w14:paraId="6533F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5A09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美的</w:t>
            </w:r>
          </w:p>
        </w:tc>
        <w:tc>
          <w:tcPr>
            <w:tcW w:w="0" w:type="auto"/>
            <w:shd w:val="clear"/>
            <w:vAlign w:val="center"/>
          </w:tcPr>
          <w:p w14:paraId="01C649B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4,564.52亿元</w:t>
            </w:r>
          </w:p>
        </w:tc>
        <w:tc>
          <w:tcPr>
            <w:tcW w:w="0" w:type="auto"/>
            <w:shd w:val="clear"/>
            <w:vAlign w:val="center"/>
          </w:tcPr>
          <w:p w14:paraId="439395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439.45亿元</w:t>
            </w:r>
          </w:p>
        </w:tc>
        <w:tc>
          <w:tcPr>
            <w:tcW w:w="0" w:type="auto"/>
            <w:shd w:val="clear"/>
            <w:vAlign w:val="center"/>
          </w:tcPr>
          <w:p w14:paraId="35DA94B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26.39%</w:t>
            </w:r>
          </w:p>
        </w:tc>
        <w:tc>
          <w:tcPr>
            <w:tcW w:w="0" w:type="auto"/>
            <w:shd w:val="clear"/>
            <w:vAlign w:val="center"/>
          </w:tcPr>
          <w:p w14:paraId="0655B9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9.63%</w:t>
            </w:r>
          </w:p>
        </w:tc>
        <w:tc>
          <w:tcPr>
            <w:tcW w:w="0" w:type="auto"/>
            <w:shd w:val="clear"/>
            <w:vAlign w:val="center"/>
          </w:tcPr>
          <w:p w14:paraId="0649F19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19.70%</w:t>
            </w:r>
          </w:p>
        </w:tc>
        <w:tc>
          <w:tcPr>
            <w:tcW w:w="0" w:type="auto"/>
            <w:shd w:val="clear"/>
            <w:vAlign w:val="center"/>
          </w:tcPr>
          <w:p w14:paraId="206A8E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533.46亿元</w:t>
            </w:r>
          </w:p>
        </w:tc>
      </w:tr>
      <w:tr w14:paraId="49DCF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364D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海尔</w:t>
            </w:r>
          </w:p>
        </w:tc>
        <w:tc>
          <w:tcPr>
            <w:tcW w:w="0" w:type="auto"/>
            <w:shd w:val="clear"/>
            <w:vAlign w:val="center"/>
          </w:tcPr>
          <w:p w14:paraId="1F01BC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3,023.47亿元</w:t>
            </w:r>
          </w:p>
        </w:tc>
        <w:tc>
          <w:tcPr>
            <w:tcW w:w="0" w:type="auto"/>
            <w:shd w:val="clear"/>
            <w:vAlign w:val="center"/>
          </w:tcPr>
          <w:p w14:paraId="284F4F1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195.53亿元</w:t>
            </w:r>
          </w:p>
        </w:tc>
        <w:tc>
          <w:tcPr>
            <w:tcW w:w="0" w:type="auto"/>
            <w:shd w:val="clear"/>
            <w:vAlign w:val="center"/>
          </w:tcPr>
          <w:p w14:paraId="7A865A3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26.66%</w:t>
            </w:r>
          </w:p>
        </w:tc>
        <w:tc>
          <w:tcPr>
            <w:tcW w:w="0" w:type="auto"/>
            <w:shd w:val="clear"/>
            <w:vAlign w:val="center"/>
          </w:tcPr>
          <w:p w14:paraId="079676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6.47%</w:t>
            </w:r>
          </w:p>
        </w:tc>
        <w:tc>
          <w:tcPr>
            <w:tcW w:w="0" w:type="auto"/>
            <w:shd w:val="clear"/>
            <w:vAlign w:val="center"/>
          </w:tcPr>
          <w:p w14:paraId="31E3175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16.98%</w:t>
            </w:r>
          </w:p>
        </w:tc>
        <w:tc>
          <w:tcPr>
            <w:tcW w:w="0" w:type="auto"/>
            <w:shd w:val="clear"/>
            <w:vAlign w:val="center"/>
          </w:tcPr>
          <w:p w14:paraId="0609696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260.03亿元</w:t>
            </w:r>
          </w:p>
        </w:tc>
      </w:tr>
    </w:tbl>
    <w:p w14:paraId="452DFCC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趋势回答</w:t>
      </w:r>
    </w:p>
    <w:p w14:paraId="0973BE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格力：2023—2025年收入连续下降；2025年利润回落，但经营现金流明显改善。较高净利率不能全部归因于主营业务，需要拆分利息收入、投资收益和其他收益。</w:t>
      </w:r>
    </w:p>
    <w:p w14:paraId="3D82CF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美的：三年收入和利润持续增长，海外收入及ToB业务贡献上升；但经营现金流2025年下降、ROE由22.23%降至19.70%。</w:t>
      </w:r>
    </w:p>
    <w:p w14:paraId="4797C2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海尔：收入和利润稳步增长，经营现金流三年稳定在约260亿元；海外收入超过一半，但海外费用、汇率和并购资产摊销压低净利率。</w:t>
      </w:r>
    </w:p>
    <w:p w14:paraId="06CACEE1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2026H1阶段性表现：</w:t>
      </w:r>
    </w:p>
    <w:p w14:paraId="588EF4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格力：营收893.98亿元，同比下降8.15%；归母净利132.78亿元，同比下降7.87%。</w:t>
      </w:r>
    </w:p>
    <w:p w14:paraId="4D62BF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美的：营收2,610.52亿元，同比增长3.46%；归母净利264.46亿元，同比增长1.66%。</w:t>
      </w:r>
    </w:p>
    <w:p w14:paraId="34F9EB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海尔：营收1,521.15亿元，同比下降2.80%；归母净利103.16亿元，同比下降14.27%。</w:t>
      </w:r>
    </w:p>
    <w:p w14:paraId="1C1D9EF2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判断：美的当前增长稳定性最好；格力需要解决收入收缩问题；海尔需要关注收入与利润增速背离。</w:t>
      </w:r>
    </w:p>
    <w:p w14:paraId="77547DB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四、第三阶段：行业与房地产传导</w:t>
      </w:r>
    </w:p>
    <w:p w14:paraId="7C51D8C8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行业进入存量更新阶段。2025年中国家电全品类零售额约8,931亿元，同比下降4.3%；2025年空调行业出货约1.98亿台，内销小幅增长、出口下降。</w:t>
      </w:r>
    </w:p>
    <w:p w14:paraId="4C0F935D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房地产对白电的传导不是简单的“地产下降→家电下降”，而是：</w:t>
      </w:r>
    </w:p>
    <w:p w14:paraId="2587AF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</w:pPr>
    </w:p>
    <w:p w14:paraId="2AEAF906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drawing>
          <wp:inline distT="0" distB="0" distL="114300" distR="114300">
            <wp:extent cx="5268595" cy="4004310"/>
            <wp:effectExtent l="0" t="0" r="825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032117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财务分析应重点观察渠道库存、存货周转、返利和促销费用、合同负债、工程渠道应收及经营现金流，而不能只比较商品房销售数据。</w:t>
      </w:r>
    </w:p>
    <w:p w14:paraId="60E11B5B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促销方面：</w:t>
      </w:r>
    </w:p>
    <w:p w14:paraId="4F5318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2025年双十一白电量额普遍下降，主要受国补高基数和需求提前释放影响。</w:t>
      </w:r>
    </w:p>
    <w:p w14:paraId="6521DF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2026年618空调全渠道销量约1,380万台、零售额418亿元，同比分别下降13.4%和13.8%。</w:t>
      </w:r>
    </w:p>
    <w:p w14:paraId="6769FF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截至2026年10月8日，2026年双十一尚未发生，不能填写实绩。</w:t>
      </w:r>
    </w:p>
    <w:p w14:paraId="65B35B88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五、第四阶段：会计政策与经营效率</w:t>
      </w:r>
    </w:p>
    <w:p w14:paraId="6327DFB7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三家公司固定资产总体采用年限平均法，无形资产按预计受益期摊销，存货均按成本与可变现净值孰低计量，应收款均采用预期信用损失模型。</w:t>
      </w:r>
    </w:p>
    <w:p w14:paraId="44372483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不能仅依据折旧年限判断谨慎性，必须同时考虑：</w:t>
      </w:r>
    </w:p>
    <w:p w14:paraId="5589AF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自制与外包比例；</w:t>
      </w:r>
    </w:p>
    <w:p w14:paraId="1E326B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厂房及设备年龄；</w:t>
      </w:r>
    </w:p>
    <w:p w14:paraId="40A2ED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资本开支与折旧关系；</w:t>
      </w:r>
    </w:p>
    <w:p w14:paraId="787BD2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产能利用率；</w:t>
      </w:r>
    </w:p>
    <w:p w14:paraId="714D38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并购形成的无形资产和商誉；</w:t>
      </w:r>
    </w:p>
    <w:p w14:paraId="461939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海内外经营及渠道模式。</w:t>
      </w:r>
    </w:p>
    <w:p w14:paraId="5625FE85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2025年存货跌价准备率大致为：</w:t>
      </w:r>
    </w:p>
    <w:p w14:paraId="61C732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格力：10.4%；</w:t>
      </w:r>
    </w:p>
    <w:p w14:paraId="7E5445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海尔：3.9%；</w:t>
      </w:r>
    </w:p>
    <w:p w14:paraId="7968BC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美的：相对较低，但需按附注统一计算。</w:t>
      </w:r>
    </w:p>
    <w:p w14:paraId="46738381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结论：格力存货减值计提比例最高，表现出较强的存货估值压力或谨慎性，但不能据此断定其整体会计政策最谨慎。海尔商誉和海外无形资产估值风险更突出，美的则需要重点观察ToB应收、合同资产和营运资金。</w:t>
      </w:r>
    </w:p>
    <w:p w14:paraId="1B8A897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六、第五阶段：空调ASP</w:t>
      </w:r>
    </w:p>
    <w:p w14:paraId="13F3B1D7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公司综合出厂ASP无法可靠直接计算，因为三家公司均未同时披露口径一致的“空调收入”和“空调销量”。</w:t>
      </w:r>
    </w:p>
    <w:p w14:paraId="561362AB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推荐使用同一口径的线上零售ASP：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5"/>
        <w:gridCol w:w="2190"/>
        <w:gridCol w:w="2190"/>
        <w:gridCol w:w="2205"/>
      </w:tblGrid>
      <w:tr w14:paraId="2F066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CA4B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主品牌</w:t>
            </w:r>
          </w:p>
        </w:tc>
        <w:tc>
          <w:tcPr>
            <w:tcW w:w="0" w:type="auto"/>
            <w:shd w:val="clear"/>
            <w:vAlign w:val="center"/>
          </w:tcPr>
          <w:p w14:paraId="047AE2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2025年初至6月1日ASP</w:t>
            </w:r>
          </w:p>
        </w:tc>
        <w:tc>
          <w:tcPr>
            <w:tcW w:w="0" w:type="auto"/>
            <w:shd w:val="clear"/>
            <w:vAlign w:val="center"/>
          </w:tcPr>
          <w:p w14:paraId="023156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同比</w:t>
            </w:r>
          </w:p>
        </w:tc>
        <w:tc>
          <w:tcPr>
            <w:tcW w:w="0" w:type="auto"/>
            <w:shd w:val="clear"/>
            <w:vAlign w:val="center"/>
          </w:tcPr>
          <w:p w14:paraId="7EBB34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2024同期反推</w:t>
            </w:r>
          </w:p>
        </w:tc>
      </w:tr>
      <w:tr w14:paraId="59BEE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0F7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格力</w:t>
            </w:r>
          </w:p>
        </w:tc>
        <w:tc>
          <w:tcPr>
            <w:tcW w:w="0" w:type="auto"/>
            <w:shd w:val="clear"/>
            <w:vAlign w:val="center"/>
          </w:tcPr>
          <w:p w14:paraId="025F960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3,528元/台</w:t>
            </w:r>
          </w:p>
        </w:tc>
        <w:tc>
          <w:tcPr>
            <w:tcW w:w="0" w:type="auto"/>
            <w:shd w:val="clear"/>
            <w:vAlign w:val="center"/>
          </w:tcPr>
          <w:p w14:paraId="0B726E0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-2.05%</w:t>
            </w:r>
          </w:p>
        </w:tc>
        <w:tc>
          <w:tcPr>
            <w:tcW w:w="0" w:type="auto"/>
            <w:shd w:val="clear"/>
            <w:vAlign w:val="center"/>
          </w:tcPr>
          <w:p w14:paraId="15E283D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3,602元/台</w:t>
            </w:r>
          </w:p>
        </w:tc>
      </w:tr>
      <w:tr w14:paraId="7CCEE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1E0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美的</w:t>
            </w:r>
          </w:p>
        </w:tc>
        <w:tc>
          <w:tcPr>
            <w:tcW w:w="0" w:type="auto"/>
            <w:shd w:val="clear"/>
            <w:vAlign w:val="center"/>
          </w:tcPr>
          <w:p w14:paraId="00C231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2,967元/台</w:t>
            </w:r>
          </w:p>
        </w:tc>
        <w:tc>
          <w:tcPr>
            <w:tcW w:w="0" w:type="auto"/>
            <w:shd w:val="clear"/>
            <w:vAlign w:val="center"/>
          </w:tcPr>
          <w:p w14:paraId="3010F31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-12.23%</w:t>
            </w:r>
          </w:p>
        </w:tc>
        <w:tc>
          <w:tcPr>
            <w:tcW w:w="0" w:type="auto"/>
            <w:shd w:val="clear"/>
            <w:vAlign w:val="center"/>
          </w:tcPr>
          <w:p w14:paraId="353E2E3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3,380元/台</w:t>
            </w:r>
          </w:p>
        </w:tc>
      </w:tr>
      <w:tr w14:paraId="3F1EB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B4E1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海尔</w:t>
            </w:r>
          </w:p>
        </w:tc>
        <w:tc>
          <w:tcPr>
            <w:tcW w:w="0" w:type="auto"/>
            <w:shd w:val="clear"/>
            <w:vAlign w:val="center"/>
          </w:tcPr>
          <w:p w14:paraId="27E9F1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2,820元/台</w:t>
            </w:r>
          </w:p>
        </w:tc>
        <w:tc>
          <w:tcPr>
            <w:tcW w:w="0" w:type="auto"/>
            <w:shd w:val="clear"/>
            <w:vAlign w:val="center"/>
          </w:tcPr>
          <w:p w14:paraId="26EA6C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-8.21%</w:t>
            </w:r>
          </w:p>
        </w:tc>
        <w:tc>
          <w:tcPr>
            <w:tcW w:w="0" w:type="auto"/>
            <w:shd w:val="clear"/>
            <w:vAlign w:val="center"/>
          </w:tcPr>
          <w:p w14:paraId="5DE6D1B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3,072元/台</w:t>
            </w:r>
          </w:p>
        </w:tc>
      </w:tr>
    </w:tbl>
    <w:p w14:paraId="772D981C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分析结论：</w:t>
      </w:r>
    </w:p>
    <w:p w14:paraId="1FCC1A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格力主品牌ASP比美的高18.9%、比海尔高25.1%，价格体系相对稳定。</w:t>
      </w:r>
    </w:p>
    <w:p w14:paraId="0426D4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美的和海尔降价更积极，并分别通过华凌、统帅覆盖低价市场。</w:t>
      </w:r>
    </w:p>
    <w:p w14:paraId="073F34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按1.6匹情景标准化，格力、美的、海尔约为2,205、1,854、1,763元/匹。</w:t>
      </w:r>
    </w:p>
    <w:p w14:paraId="4E1055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“元/匹”只是容量标准化估算，不能表述为实际1匹空调售价。</w:t>
      </w:r>
    </w:p>
    <w:p w14:paraId="2518892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七、第六阶段：大宗商品</w:t>
      </w:r>
    </w:p>
    <w:p w14:paraId="1333D149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2026年1—9月相对2025年同期：</w:t>
      </w:r>
    </w:p>
    <w:p w14:paraId="17C120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铜价约上涨40.5%；</w:t>
      </w:r>
    </w:p>
    <w:p w14:paraId="1095BB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铝价约上涨29.8%；</w:t>
      </w:r>
    </w:p>
    <w:p w14:paraId="47E705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原油均价约上涨25.2%；</w:t>
      </w:r>
    </w:p>
    <w:p w14:paraId="7B54EC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铁矿石约上涨2.8%；</w:t>
      </w:r>
    </w:p>
    <w:p w14:paraId="5A3409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黄金、白银涨幅较高，但对白电整机的直接成本权重较低。</w:t>
      </w:r>
    </w:p>
    <w:p w14:paraId="2303C9B2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成本关联：</w:t>
      </w:r>
    </w:p>
    <w:p w14:paraId="652304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铜：换热器铜管、电机、线束，直接敏感度最高。</w:t>
      </w:r>
    </w:p>
    <w:p w14:paraId="4B961C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铝：翅片、换热器和结构件，敏感度较高。</w:t>
      </w:r>
    </w:p>
    <w:p w14:paraId="6922F1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钢材：机壳、压缩机壳体和钣金件。</w:t>
      </w:r>
    </w:p>
    <w:p w14:paraId="40FE17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原油：通过塑料、泡沫、化工材料、包装及物流间接传导。</w:t>
      </w:r>
    </w:p>
    <w:p w14:paraId="56B8EF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贵金属：主要用于电子触点和控制板，单机用量较少。</w:t>
      </w:r>
    </w:p>
    <w:p w14:paraId="0D1F484F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2025年原材料占制造成本比重：</w:t>
      </w:r>
    </w:p>
    <w:p w14:paraId="11BA7A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格力87.52%；</w:t>
      </w:r>
    </w:p>
    <w:p w14:paraId="694239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海尔84.00%；</w:t>
      </w:r>
    </w:p>
    <w:p w14:paraId="2DA6BE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美的82.26%。</w:t>
      </w:r>
    </w:p>
    <w:p w14:paraId="70665690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商品价格不会立即、同比例进入营业成本。采购长协、套期保值、原材料库存、在产品、产成品、渠道库存和产品提价会形成缓冲，毛利率反应可能滞后1—2个季度。</w:t>
      </w:r>
    </w:p>
    <w:p w14:paraId="705EA59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八、项目最终结论</w:t>
      </w:r>
    </w:p>
    <w:p w14:paraId="1921F4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美的综合规模、增长、品类和全球化最均衡，当前经营韧性最强。</w:t>
      </w:r>
    </w:p>
    <w:p w14:paraId="492FF1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格力盈利率和现金创造能力突出，但收入收缩与业务集中是主要风险。</w:t>
      </w:r>
    </w:p>
    <w:p w14:paraId="39E366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海尔全球化程度最高，冰洗和高端品牌优势明显，但净利率及海外经营波动值得关注。</w:t>
      </w:r>
    </w:p>
    <w:p w14:paraId="750112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三家公司ROE均有下降或走平趋势，需要用杜邦分析区分净利率、周转率和杠杆变化。</w:t>
      </w:r>
    </w:p>
    <w:p w14:paraId="7E76B9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房地产主要影响新增安装、装修和工程渠道需求，存量换新及政策补贴只能部分对冲。</w:t>
      </w:r>
    </w:p>
    <w:p w14:paraId="060B94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格力具有明显主品牌价格溢价；美的、海尔更依赖多品牌覆盖不同价格带。</w:t>
      </w:r>
    </w:p>
    <w:p w14:paraId="79071E4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2026年铜、铝、原油共同上涨，成本压力较2025年显著增强，但实际影响取决于库存、套保和提价能力。</w:t>
      </w:r>
    </w:p>
    <w:p w14:paraId="42A86A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会计谨慎性不能用单一折旧年限或减值比例排名，应结合资产结构、经营模式和减值测试假设。</w:t>
      </w:r>
    </w:p>
    <w:p w14:paraId="0853EDC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九、尚需人工补充</w:t>
      </w:r>
    </w:p>
    <w:p w14:paraId="0E8677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取得奥维云网付费分品牌、分匹数、分渠道量额数据，计算真实加权“元/匹”。</w:t>
      </w:r>
    </w:p>
    <w:p w14:paraId="654F43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补充三家公司2026H1毛利率、ROE、海外分部和资产负债率的统一口径表。</w:t>
      </w:r>
    </w:p>
    <w:p w14:paraId="0770AC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核对最新高管任免、前十大股东及一致行动关系。</w:t>
      </w:r>
    </w:p>
    <w:p w14:paraId="1ECE0E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补充冷轧板、塑料、人民币铜铝价格及三家公司套保覆盖率。</w:t>
      </w:r>
    </w:p>
    <w:p w14:paraId="002EA5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活动结束后补入2026年双十一数据。</w:t>
      </w:r>
    </w:p>
    <w:p w14:paraId="66F090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eastAsia="zh"/>
          <w:woUserID w:val="1"/>
        </w:rPr>
      </w:pPr>
      <w:r>
        <w:rPr>
          <w:woUserID w:val="1"/>
        </w:rPr>
        <w:t>进一步计算存货、应收、应付周转天数和现金转换周期。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4EFA9"/>
    <w:multiLevelType w:val="multilevel"/>
    <w:tmpl w:val="9BE4E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DF4A68"/>
    <w:multiLevelType w:val="multilevel"/>
    <w:tmpl w:val="A4DF4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FF95B4"/>
    <w:multiLevelType w:val="multilevel"/>
    <w:tmpl w:val="D7FF9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54C06D"/>
    <w:multiLevelType w:val="multilevel"/>
    <w:tmpl w:val="DF54C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FFE406"/>
    <w:multiLevelType w:val="multilevel"/>
    <w:tmpl w:val="F6FFE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7FD3CF"/>
    <w:multiLevelType w:val="multilevel"/>
    <w:tmpl w:val="FD7FD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E52352"/>
    <w:multiLevelType w:val="multilevel"/>
    <w:tmpl w:val="FFE523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FE75DE"/>
    <w:multiLevelType w:val="multilevel"/>
    <w:tmpl w:val="FFFE7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F7977F"/>
    <w:multiLevelType w:val="multilevel"/>
    <w:tmpl w:val="1FF79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DA2BC1"/>
    <w:multiLevelType w:val="multilevel"/>
    <w:tmpl w:val="2EDA2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E2EFBC5"/>
    <w:multiLevelType w:val="multilevel"/>
    <w:tmpl w:val="3E2EF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6B1ACF"/>
    <w:multiLevelType w:val="multilevel"/>
    <w:tmpl w:val="5A6B1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BFA01BF"/>
    <w:multiLevelType w:val="multilevel"/>
    <w:tmpl w:val="5BFA0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4EE8E5E"/>
    <w:multiLevelType w:val="multilevel"/>
    <w:tmpl w:val="74EE8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2"/>
  </w:num>
  <w:num w:numId="5">
    <w:abstractNumId w:val="9"/>
  </w:num>
  <w:num w:numId="6">
    <w:abstractNumId w:val="3"/>
  </w:num>
  <w:num w:numId="7">
    <w:abstractNumId w:val="5"/>
  </w:num>
  <w:num w:numId="8">
    <w:abstractNumId w:val="13"/>
  </w:num>
  <w:num w:numId="9">
    <w:abstractNumId w:val="11"/>
  </w:num>
  <w:num w:numId="10">
    <w:abstractNumId w:val="10"/>
  </w:num>
  <w:num w:numId="11">
    <w:abstractNumId w:val="1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DF9F1A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2026-10-08T18:09:14Z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3236FA37C789162BCA6BC76AB79B7A9B_43</vt:lpwstr>
  </property>
</Properties>
</file>