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白色家电三家公司：空调ASP与大宗商品成本传导专项附录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研究对象：格力电器（000651）｜美的集团（000333）｜海尔智家（600690）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18"/>
        </w:rPr>
        <w:t>数据截止：2026年10月6日｜估算值均单列假设，不与披露事实混用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一、结论先行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公司综合出厂ASP仍不能可靠计算：三家公司均未同时披露口径一致的空调收入与空调销量。强行使用“家电总销量”会形成系统性低估。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可比性最高的替代指标是同一监测口径下的品牌线上零售ASP。2024年12月30日至2025年6月1日，格力/美的/海尔主品牌分别为3,528/2,967/2,820元/台。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格力主品牌ASP比美的高18.9%、比海尔高25.1%；美的、海尔通过华凌、统帅覆盖低价带，品牌体系加权ASP进一步下移。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若以1.6匹作为“平均匹数”情景，主品牌标准化价格约为格力2,205、美的1,854、海尔1,763元/匹；这是容量标准化结果，不是实际1匹SKU成交价。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2025年原油下跌缓解塑料与物流成本，但铜、铝均上涨约9%；2026年1—9月铜/铝/原油同比约+40.5%/+29.8%/+25.2%，成本压力明显转强。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原材料占制造成本比重为格力87.52%、海尔84.00%、美的82.26%。在相同冲击下，格力的会计成本敏感度略高，但实际毛利率结果还取决于自制率、长协、套保、汇率、产品结构及提价。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二、空调ASP：可验证口径与估算结果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4"/>
        </w:rPr>
        <w:t>2.1 为什么不能直接用年报计算三家公司空调ASP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公司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2025年收入披露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2025年销量披露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公司口径ASP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主要问题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格力电器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消费电器收入1,330.55亿元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未披露可与收入匹配的空调销量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不可直接计算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收入包含非空调消费电器；销量口径不匹配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S9</w:t>
            </w:r>
          </w:p>
        </w:tc>
      </w:tr>
      <w:tr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美的集团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智能家居收入2,999.27亿元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家用电器销售量73,586.93万台/套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不可直接计算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收入与销量均覆盖多品类，不是空调单品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S10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海尔智家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空调收入537.42亿元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家用电器销售量13,695万台/套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不可直接计算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收入是空调口径，但销量是多品类合计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S11</w:t>
            </w:r>
          </w:p>
        </w:tc>
      </w:tr>
    </w:tbl>
    <w:p/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判断：课程汇报中应把“上市公司综合出厂ASP”列为不可得，而不是给出伪精确数值。海尔虽披露空调收入，但没有空调单品销量；格力和美的的收入、销量均为更宽口径。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4"/>
        </w:rPr>
        <w:t>2.2 同口径品牌线上零售ASP（推荐采用）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主品牌</w:t>
            </w:r>
          </w:p>
        </w:tc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2025 ASP 元/台</w:t>
            </w:r>
          </w:p>
        </w:tc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同比</w:t>
            </w:r>
          </w:p>
        </w:tc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2024同期反推</w:t>
            </w:r>
          </w:p>
        </w:tc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主品牌销量份额</w:t>
            </w:r>
          </w:p>
        </w:tc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子品牌</w:t>
            </w:r>
          </w:p>
        </w:tc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子品牌ASP</w:t>
            </w:r>
          </w:p>
        </w:tc>
        <w:tc>
          <w:tcPr>
            <w:tcW w:type="dxa" w:w="12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已披露品牌体系加权ASP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格力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3,528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-2.05%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3,602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18.39%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—</w:t>
            </w:r>
          </w:p>
        </w:tc>
      </w:tr>
      <w:tr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美的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2,967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-12.23%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3,380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23.14%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华凌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2,108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2,701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海尔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2,820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-8.21%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3,072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6.44%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统帅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1,939</w:t>
            </w:r>
          </w:p>
        </w:tc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2,476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3461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46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事实：以上数据为奥维云网线上监测口径，期间为2024-12-30至2025-06-01。美的体系加权ASP约2,701元/台（美的+华凌），海尔体系约2,476元/台（海尔+统帅）；未纳入其他未披露品牌，不能视作公司完整线上ASP。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分析判断：格力维持较高主品牌价格，降幅仅2.05%；美的与海尔主品牌降价更积极，并用子品牌向下延伸价格带。这与“主品牌守价值、子品牌抢规模”的多品牌策略一致。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4"/>
        </w:rPr>
        <w:t>2.3 单匹价格：情景标准化，而非观测值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主品牌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按1.5匹 元/匹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按1.6匹 元/匹（中心）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按1.7匹 元/匹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格力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2,352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2,205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2,075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海尔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1,880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1,762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1,659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美的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1,978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1,854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1,745</w:t>
            </w:r>
          </w:p>
        </w:tc>
      </w:tr>
    </w:tbl>
    <w:p/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限制：公开数据没有给出各品牌1匹/1.5匹/2匹/3匹销量组合，无法计算真实加权平均匹数。因此“元/匹”只能做1.5—1.7匹情景区间。若用于PPT，建议写“容量标准化ASP（估算）”，避免写成“1匹机售价”。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4"/>
        </w:rPr>
        <w:t>2.4 行业量额交叉校验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期间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零售额亿元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零售量万台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ASP元/台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计算/说明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2025H1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全渠道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1263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3845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3,285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零售额÷零售量</w:t>
            </w:r>
          </w:p>
        </w:tc>
      </w:tr>
      <w:tr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2025Q2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线上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340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1348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2,522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研报披露均价约2525元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2026年618 W20-25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全渠道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418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1380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3,029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零售额÷零售量</w:t>
            </w:r>
          </w:p>
        </w:tc>
      </w:tr>
      <w:tr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2026年618 W20-25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线上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242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2,291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奥维监测均价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2026年618 W20-25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线下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175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3,915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奥维监测均价</w:t>
            </w:r>
          </w:p>
        </w:tc>
      </w:tr>
    </w:tbl>
    <w:p/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校验结果：2025H1全渠道ASP约3,285元/台，高于同期线上市场，符合线下渠道及柜机/高端机占比较高的常识；2026年618线上均价2,291元、线下3,915元，说明渠道结构差异足以显著改变ASP，不能跨渠道直接比较。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三、大宗商品价格：统一口径数据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口径：世界银行 Pink Sheet，名义美元。2023—2025为各月均价的全年平均；2026为1—9月平均。铁矿石用于钢材上游方向性代理，不等同于家电用冷轧板实际采购价。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品种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2026年1-9月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2026年1-9月同比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原油 $/桶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80.77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78.73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67.42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86.64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+25.2%</w:t>
            </w:r>
          </w:p>
        </w:tc>
      </w:tr>
      <w:tr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铝 $/吨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2,255.75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2,419.08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2,631.67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3,331.11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+29.8%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铁矿石 $/干吨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120.59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109.41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100.18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101.83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+2.8%</w:t>
            </w:r>
          </w:p>
        </w:tc>
      </w:tr>
      <w:tr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铜 $/吨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8,490.33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9,142.00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9,947.42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13,431.22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+40.5%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黄金 $/盎司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1,942.75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2,387.58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3,441.50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4,552.00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+42.0%</w:t>
            </w:r>
          </w:p>
        </w:tc>
      </w:tr>
      <w:tr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白银 $/盎司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23.41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28.28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39.80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73.48</w:t>
            </w:r>
          </w:p>
        </w:tc>
        <w:tc>
          <w:tcPr>
            <w:tcW w:type="dxa" w:w="170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+109.6%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3698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modity_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98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事实：2025年原油均价同比下降14.4%，而铜、铝均上涨8.8%左右；2026年1—9月相对上年同期，铜上涨40.5%、铝上涨29.8%、原油上涨25.2%。黄金和白银涨幅更大，但对白电整机的直接成本权重很低。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分析判断：对白电毛利率最应关注铜、铝和钢材链；原油主要通过ABS/PP等塑料、聚氨酯、包装和物流间接影响。贵金属更多用于电子触点与电控板，小用量决定其对整机成本的直接影响通常弱于铜铝。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四、从商品价格到财务报表的传导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商品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直接敏感度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铜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换热器铜管、压缩机电机、线束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空调最敏感；铜价上行首先影响材料采购与存货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铝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翅片、换热器、结构件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与铜存在一定替代，但工艺与性能约束明显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钢材/铁矿石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机壳、压缩机壳体、钣金件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中高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铁矿石只作上游代理，实际应跟踪冷轧板/镀锌板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原油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塑料、泡沫、制冷化工原料、运输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25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链条较长，传导弱于铜铝且受化工价差影响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黄金/白银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电子触点、控制板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低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单机用量小；更适合作为电子元件成本的次级变量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原料占制造成本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原料成本 亿元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期末原料净额 亿元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原料跌价率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原料存货天数代理</w:t>
            </w:r>
          </w:p>
        </w:tc>
        <w:tc>
          <w:tcPr>
            <w:tcW w:type="dxa" w:w="14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格力电器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87.52%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853.5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64.2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12.15%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28.1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S9</w:t>
            </w:r>
          </w:p>
        </w:tc>
      </w:tr>
      <w:tr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美的集团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82.26%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2097.5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116.9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3.40%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19.4</w:t>
            </w:r>
          </w:p>
        </w:tc>
        <w:tc>
          <w:tcPr>
            <w:tcW w:type="dxa" w:w="146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S10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海尔智家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84.00%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1555.4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63.2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3.48%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15.2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S11</w:t>
            </w:r>
          </w:p>
        </w:tc>
      </w:tr>
    </w:tbl>
    <w:p/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分析判断：原材料账面库存代理天数约为格力28天、美的19天、海尔15天。仅看厂内原料库存，现货价格通常不会当期完整进入营业成本；叠加采购长协、在产品、产成品和渠道库存，财务报表毛利率反应更可能滞后1—2个季度。该时滞是分析推断，并非公司披露的固定周期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注意：格力原材料跌价准备率明显较高，但其业务与存货结构不同，不能据此直接判断其采购更差或商品风险更高；跌价准备还受库龄、专用件、可变现净值和历史处置政策影响。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五、毛利率敏感性：给出范围，不给伪预测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情景公式：毛利率冲击 ≈ 营业成本率 × 原材料占制造成本 × 金属占原料 × 未套保/未转嫁比例 × 金属价格变化。统一假设营业成本率75%，金属价格上涨10%；低/中/高情景分别采用金属占原料20%/25%/30%、未转嫁比例60%/80%/100%。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低情景 -pct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中情景 -pct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高情景 -pct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广义原料成本+1% -pct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格力电器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0.79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1.31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1.97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0.66</w:t>
            </w:r>
          </w:p>
        </w:tc>
      </w:tr>
      <w:tr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美的集团</w:t>
            </w:r>
          </w:p>
        </w:tc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0.74</w:t>
            </w:r>
          </w:p>
        </w:tc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1.23</w:t>
            </w:r>
          </w:p>
        </w:tc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1.85</w:t>
            </w:r>
          </w:p>
        </w:tc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0.62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海尔智家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0.76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1.26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1.89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0.63</w:t>
            </w:r>
          </w:p>
        </w:tc>
      </w:tr>
    </w:tbl>
    <w:p/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解读：在统一假设下，金属价格上涨10%且未完全转嫁，三家公司毛利率理论冲击约0.74—1.97个百分点。由于原材料成本比重最高，格力的机械敏感度略大；但美的自制核心部件、海尔全球本地化采购、各公司的套保和产品升级都可能改变实际结果。此表只用于压力测试，不应直接写入盈利预测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六、可直接放进PPT的表述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ASP：2025年初至6月1日线上主品牌均价为格力3,528元、美的2,967元、海尔2,820元；格力维持约19%—25%的价格溢价。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价格策略：美的、海尔主品牌均价同比下降12.23%和8.21%，同时华凌、统帅分别下探至2,108元和1,939元；格力降幅仅2.05%。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口径警示：该指标是线上零售ASP，不是上市公司出厂ASP，也不等于空调业务收入÷总家电销量。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成本拐点：2025年“油弱、金属强”；2026年前三季度转为“铜铝油共振上行”，空调成本压力较2025年明显增强。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报表传导：先进入采购与原材料，再经生产、产成品和渠道库存进入营业成本；毛利率影响通常滞后，且会被提价、结构升级和套保部分对冲。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七、仍需人工补充/验证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若能取得奥维云网付费数据库：导出三品牌2023—2026按月、线上/线下、挂机/柜机、匹数的量额，可计算真实加权“元/匹”。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若能取得产业在线品牌出货量与公司分品类收入：仅在地域、内外销、OEM/OBM、税口径一致后，才能估算公司出厂ASP。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补充上海期货交易所铜铝、Mysteel冷轧板、化工塑料现货价，以人民币口径匹配国内采购；世界银行数据更适合跨期宏观比较。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从年报衍生品附注核对铜铝套保名义本金、有效性和计入成本的金额；多数公司未按商品种类完整披露，不能据衍生品总额推断套保覆盖率。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核对线上均价是否含安装、平台券、政府补贴和以旧换新折价；不同来源对“成交价”的净额处理可能不同。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八、来源与链接</w:t>
      </w:r>
    </w:p>
    <w:p>
      <w:r>
        <w:rPr>
          <w:rFonts w:ascii="Noto Sans CJK SC" w:hAnsi="Noto Sans CJK SC" w:eastAsia="Noto Sans CJK SC"/>
          <w:sz w:val="17"/>
        </w:rPr>
        <w:t>[S1] 奥维云网数据转载：2025年初至6月1日品牌线上空调销量份额与均价｜用途：品牌线上ASP、同比、销量份额｜</w:t>
      </w:r>
      <w:hyperlink r:id="rId11">
        <w:r>
          <w:rPr>
            <w:color w:val="0563C1"/>
            <w:u w:val="single"/>
            <w:rFonts w:eastAsia="Noto Sans CJK SC" w:ascii="Arial"/>
          </w:rPr>
          <w:t>https://www.lankeji.com/jiaju/2025/0609/71854.html</w:t>
        </w:r>
      </w:hyperlink>
    </w:p>
    <w:p>
      <w:r>
        <w:rPr>
          <w:rFonts w:ascii="Noto Sans CJK SC" w:hAnsi="Noto Sans CJK SC" w:eastAsia="Noto Sans CJK SC"/>
          <w:sz w:val="17"/>
        </w:rPr>
        <w:t>[S2] 中国家电网：2025年上半年空调行业量额（数据源：产业在线、奥维云网）｜用途：2025H1全渠道零售量3845万台、零售额1263亿元；库存与价格战背景｜</w:t>
      </w:r>
      <w:hyperlink r:id="rId12">
        <w:r>
          <w:rPr>
            <w:color w:val="0563C1"/>
            <w:u w:val="single"/>
            <w:rFonts w:eastAsia="Noto Sans CJK SC" w:ascii="Arial"/>
          </w:rPr>
          <w:t>https://news.cheaa.com/2025/0806/648543.shtml</w:t>
        </w:r>
      </w:hyperlink>
    </w:p>
    <w:p>
      <w:r>
        <w:rPr>
          <w:rFonts w:ascii="Noto Sans CJK SC" w:hAnsi="Noto Sans CJK SC" w:eastAsia="Noto Sans CJK SC"/>
          <w:sz w:val="17"/>
        </w:rPr>
        <w:t>[S3] 财通证券研报摘要（数据源：奥维云网）｜用途：2025Q2线上零售额340亿元、销量1348万台、均价约2525元｜</w:t>
      </w:r>
      <w:hyperlink r:id="rId13">
        <w:r>
          <w:rPr>
            <w:color w:val="0563C1"/>
            <w:u w:val="single"/>
            <w:rFonts w:eastAsia="Noto Sans CJK SC" w:ascii="Arial"/>
          </w:rPr>
          <w:t>https://www.fxbaogao.com/detail/4991112</w:t>
        </w:r>
      </w:hyperlink>
    </w:p>
    <w:p>
      <w:r>
        <w:rPr>
          <w:rFonts w:ascii="Noto Sans CJK SC" w:hAnsi="Noto Sans CJK SC" w:eastAsia="Noto Sans CJK SC"/>
          <w:sz w:val="17"/>
        </w:rPr>
        <w:t>[S4] 财联社：2025年618渠道与1.5匹主流品牌价格观察｜用途：线下均价、促销后1.5匹价格，作为点位校验｜</w:t>
      </w:r>
      <w:hyperlink r:id="rId14">
        <w:r>
          <w:rPr>
            <w:color w:val="0563C1"/>
            <w:u w:val="single"/>
            <w:rFonts w:eastAsia="Noto Sans CJK SC" w:ascii="Arial"/>
          </w:rPr>
          <w:t>https://www.cls.cn/detail/2046144</w:t>
        </w:r>
      </w:hyperlink>
    </w:p>
    <w:p>
      <w:r>
        <w:rPr>
          <w:rFonts w:ascii="Noto Sans CJK SC" w:hAnsi="Noto Sans CJK SC" w:eastAsia="Noto Sans CJK SC"/>
          <w:sz w:val="17"/>
        </w:rPr>
        <w:t>[S5] 奥维云网：2026年618空调市场复盘（我的钢铁网转载）｜用途：线上/线下销额及均价｜</w:t>
      </w:r>
      <w:hyperlink r:id="rId15">
        <w:r>
          <w:rPr>
            <w:color w:val="0563C1"/>
            <w:u w:val="single"/>
            <w:rFonts w:eastAsia="Noto Sans CJK SC" w:ascii="Arial"/>
          </w:rPr>
          <w:t>https://news.mysteel.com/a/26062516/11191BEF3E09F890.html</w:t>
        </w:r>
      </w:hyperlink>
    </w:p>
    <w:p>
      <w:r>
        <w:rPr>
          <w:rFonts w:ascii="Noto Sans CJK SC" w:hAnsi="Noto Sans CJK SC" w:eastAsia="Noto Sans CJK SC"/>
          <w:sz w:val="17"/>
        </w:rPr>
        <w:t>[S6] 国金证券研报摘要：2026年618空调全渠道量额｜用途：全渠道销量1380万台、销额418亿元｜</w:t>
      </w:r>
      <w:hyperlink r:id="rId16">
        <w:r>
          <w:rPr>
            <w:color w:val="0563C1"/>
            <w:u w:val="single"/>
            <w:rFonts w:eastAsia="Noto Sans CJK SC" w:ascii="Arial"/>
          </w:rPr>
          <w:t>https://data.eastmoney.com/report/zw_industry.jshtml?infocode=AP202606281826514744</w:t>
        </w:r>
      </w:hyperlink>
    </w:p>
    <w:p>
      <w:r>
        <w:rPr>
          <w:rFonts w:ascii="Noto Sans CJK SC" w:hAnsi="Noto Sans CJK SC" w:eastAsia="Noto Sans CJK SC"/>
          <w:sz w:val="17"/>
        </w:rPr>
        <w:t>[S7] 世界银行 Commodity Markets 数据主页｜用途：Pink Sheet数据说明与最新版入口｜</w:t>
      </w:r>
      <w:hyperlink r:id="rId17">
        <w:r>
          <w:rPr>
            <w:color w:val="0563C1"/>
            <w:u w:val="single"/>
            <w:rFonts w:eastAsia="Noto Sans CJK SC" w:ascii="Arial"/>
          </w:rPr>
          <w:t>https://www.worldbank.org/en/research/commodity-markets</w:t>
        </w:r>
      </w:hyperlink>
    </w:p>
    <w:p>
      <w:r>
        <w:rPr>
          <w:rFonts w:ascii="Noto Sans CJK SC" w:hAnsi="Noto Sans CJK SC" w:eastAsia="Noto Sans CJK SC"/>
          <w:sz w:val="17"/>
        </w:rPr>
        <w:t>[S8] 世界银行 Pink Sheet 月度原始数据（2026-10-02更新）｜用途：原油、铝、铁矿石、铜、黄金、白银月均价｜</w:t>
      </w:r>
      <w:hyperlink r:id="rId18">
        <w:r>
          <w:rPr>
            <w:color w:val="0563C1"/>
            <w:u w:val="single"/>
            <w:rFonts w:eastAsia="Noto Sans CJK SC" w:ascii="Arial"/>
          </w:rPr>
          <w:t>https://thedocs.worldbank.org/en/doc/74e8be41ceb20fa0da750cda2f6b9e4e-0050012026/related/CMO-Historical-Data-Monthly.xlsx</w:t>
        </w:r>
      </w:hyperlink>
    </w:p>
    <w:p>
      <w:r>
        <w:rPr>
          <w:rFonts w:ascii="Noto Sans CJK SC" w:hAnsi="Noto Sans CJK SC" w:eastAsia="Noto Sans CJK SC"/>
          <w:sz w:val="17"/>
        </w:rPr>
        <w:t>[S9] 格力电器2025年年度报告（巨潮资讯）｜用途：业务口径、成本构成、存货｜</w:t>
      </w:r>
      <w:hyperlink r:id="rId19">
        <w:r>
          <w:rPr>
            <w:color w:val="0563C1"/>
            <w:u w:val="single"/>
            <w:rFonts w:eastAsia="Noto Sans CJK SC" w:ascii="Arial"/>
          </w:rPr>
          <w:t>https://static.cninfo.com.cn/finalpage/2026-04-29/1225250396.PDF</w:t>
        </w:r>
      </w:hyperlink>
    </w:p>
    <w:p>
      <w:r>
        <w:rPr>
          <w:rFonts w:ascii="Noto Sans CJK SC" w:hAnsi="Noto Sans CJK SC" w:eastAsia="Noto Sans CJK SC"/>
          <w:sz w:val="17"/>
        </w:rPr>
        <w:t>[S10] 美的集团投资者关系—财务报告（进入后选择2025年度报告）｜用途：业务口径、成本构成、存货｜</w:t>
      </w:r>
      <w:hyperlink r:id="rId20">
        <w:r>
          <w:rPr>
            <w:color w:val="0563C1"/>
            <w:u w:val="single"/>
            <w:rFonts w:eastAsia="Noto Sans CJK SC" w:ascii="Arial"/>
          </w:rPr>
          <w:t>https://www.midea.com.cn/zh/Investors/Financial_Reports</w:t>
        </w:r>
      </w:hyperlink>
    </w:p>
    <w:p>
      <w:r>
        <w:rPr>
          <w:rFonts w:ascii="Noto Sans CJK SC" w:hAnsi="Noto Sans CJK SC" w:eastAsia="Noto Sans CJK SC"/>
          <w:sz w:val="17"/>
        </w:rPr>
        <w:t>[S11] 海尔智家2025年年度报告（巨潮资讯）｜用途：空调收入、成本构成、存货｜</w:t>
      </w:r>
      <w:hyperlink r:id="rId21">
        <w:r>
          <w:rPr>
            <w:color w:val="0563C1"/>
            <w:u w:val="single"/>
            <w:rFonts w:eastAsia="Noto Sans CJK SC" w:ascii="Arial"/>
          </w:rPr>
          <w:t>https://static.cninfo.com.cn/finalpage/2026-03-27/1225038336.PDF</w:t>
        </w:r>
      </w:hyperlink>
    </w:p>
    <w:p>
      <w:pPr>
        <w:spacing w:after="100" w:line="276" w:lineRule="auto"/>
      </w:pPr>
      <w:r>
        <w:rPr>
          <w:rFonts w:ascii="Noto Sans CJK SC" w:hAnsi="Noto Sans CJK SC" w:eastAsia="Noto Sans CJK SC"/>
          <w:sz w:val="20"/>
        </w:rPr>
        <w:t>说明：S10链接如因官网路径调整失效，可从美的集团投资者关系—财务报告页面检索2025年度报告；工作簿保留全部计算过程。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lankeji.com/jiaju/2025/0609/71854.html" TargetMode="External"/><Relationship Id="rId12" Type="http://schemas.openxmlformats.org/officeDocument/2006/relationships/hyperlink" Target="https://news.cheaa.com/2025/0806/648543.shtml" TargetMode="External"/><Relationship Id="rId13" Type="http://schemas.openxmlformats.org/officeDocument/2006/relationships/hyperlink" Target="https://www.fxbaogao.com/detail/4991112" TargetMode="External"/><Relationship Id="rId14" Type="http://schemas.openxmlformats.org/officeDocument/2006/relationships/hyperlink" Target="https://www.cls.cn/detail/2046144" TargetMode="External"/><Relationship Id="rId15" Type="http://schemas.openxmlformats.org/officeDocument/2006/relationships/hyperlink" Target="https://news.mysteel.com/a/26062516/11191BEF3E09F890.html" TargetMode="External"/><Relationship Id="rId16" Type="http://schemas.openxmlformats.org/officeDocument/2006/relationships/hyperlink" Target="https://data.eastmoney.com/report/zw_industry.jshtml?infocode=AP202606281826514744" TargetMode="External"/><Relationship Id="rId17" Type="http://schemas.openxmlformats.org/officeDocument/2006/relationships/hyperlink" Target="https://www.worldbank.org/en/research/commodity-markets" TargetMode="External"/><Relationship Id="rId18" Type="http://schemas.openxmlformats.org/officeDocument/2006/relationships/hyperlink" Target="https://thedocs.worldbank.org/en/doc/74e8be41ceb20fa0da750cda2f6b9e4e-0050012026/related/CMO-Historical-Data-Monthly.xlsx" TargetMode="External"/><Relationship Id="rId19" Type="http://schemas.openxmlformats.org/officeDocument/2006/relationships/hyperlink" Target="https://static.cninfo.com.cn/finalpage/2026-04-29/1225250396.PDF" TargetMode="External"/><Relationship Id="rId20" Type="http://schemas.openxmlformats.org/officeDocument/2006/relationships/hyperlink" Target="https://www.midea.com.cn/zh/Investors/Financial_Reports" TargetMode="External"/><Relationship Id="rId21" Type="http://schemas.openxmlformats.org/officeDocument/2006/relationships/hyperlink" Target="https://static.cninfo.com.cn/finalpage/2026-03-27/122503833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