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D0196F" w14:textId="77777777" w:rsidR="00EF513F" w:rsidRPr="006757E5" w:rsidRDefault="00EF513F" w:rsidP="00EF513F">
      <w:pPr>
        <w:shd w:val="clear" w:color="auto" w:fill="FFFFFF"/>
        <w:spacing w:before="100" w:beforeAutospacing="1" w:after="100" w:afterAutospacing="1" w:line="456" w:lineRule="atLeast"/>
        <w:rPr>
          <w:rFonts w:ascii="Arial" w:hAnsi="Arial" w:cs="Arial"/>
          <w:b/>
        </w:rPr>
      </w:pPr>
      <w:bookmarkStart w:id="0" w:name="_Hlk76063661"/>
      <w:r w:rsidRPr="006757E5">
        <w:rPr>
          <w:rFonts w:ascii="Arial" w:hAnsi="Arial" w:cs="Arial"/>
          <w:b/>
          <w:noProof/>
          <w:lang w:val="en-ZA" w:eastAsia="en-ZA"/>
        </w:rPr>
        <w:drawing>
          <wp:inline distT="0" distB="0" distL="0" distR="0" wp14:anchorId="39276CF7" wp14:editId="388C1D04">
            <wp:extent cx="1390493" cy="773430"/>
            <wp:effectExtent l="0" t="0" r="0" b="1270"/>
            <wp:docPr id="6" name="Picture 6" descr="C:\Users\MAI KANGARA\Desktop\untitl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MAI KANGARA\Desktop\untitled.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390493" cy="773430"/>
                    </a:xfrm>
                    <a:prstGeom prst="rect">
                      <a:avLst/>
                    </a:prstGeom>
                    <a:noFill/>
                    <a:ln>
                      <a:noFill/>
                    </a:ln>
                  </pic:spPr>
                </pic:pic>
              </a:graphicData>
            </a:graphic>
          </wp:inline>
        </w:drawing>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noProof/>
        </w:rPr>
        <w:drawing>
          <wp:inline distT="0" distB="0" distL="0" distR="0" wp14:anchorId="724201C2" wp14:editId="694A717A">
            <wp:extent cx="1104900" cy="702909"/>
            <wp:effectExtent l="0" t="0" r="1270" b="0"/>
            <wp:docPr id="3250890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08904" name="Picture 32508904"/>
                    <pic:cNvPicPr/>
                  </pic:nvPicPr>
                  <pic:blipFill>
                    <a:blip r:embed="rId8">
                      <a:extLst>
                        <a:ext uri="{28A0092B-C50C-407E-A947-70E740481C1C}">
                          <a14:useLocalDpi xmlns:a14="http://schemas.microsoft.com/office/drawing/2010/main" val="0"/>
                        </a:ext>
                      </a:extLst>
                    </a:blip>
                    <a:stretch>
                      <a:fillRect/>
                    </a:stretch>
                  </pic:blipFill>
                  <pic:spPr>
                    <a:xfrm>
                      <a:off x="0" y="0"/>
                      <a:ext cx="1104900" cy="702909"/>
                    </a:xfrm>
                    <a:prstGeom prst="rect">
                      <a:avLst/>
                    </a:prstGeom>
                  </pic:spPr>
                </pic:pic>
              </a:graphicData>
            </a:graphic>
          </wp:inline>
        </w:drawing>
      </w:r>
    </w:p>
    <w:p w14:paraId="086CA1BA" w14:textId="77777777" w:rsidR="00EF513F" w:rsidRPr="00091A37" w:rsidRDefault="00EF513F" w:rsidP="00EF513F">
      <w:pPr>
        <w:shd w:val="clear" w:color="auto" w:fill="FFFFFF"/>
        <w:spacing w:before="100" w:beforeAutospacing="1" w:after="100" w:afterAutospacing="1" w:line="360" w:lineRule="auto"/>
        <w:jc w:val="center"/>
        <w:rPr>
          <w:b/>
          <w:sz w:val="28"/>
          <w:szCs w:val="28"/>
        </w:rPr>
      </w:pPr>
      <w:r w:rsidRPr="00091A37">
        <w:rPr>
          <w:b/>
          <w:sz w:val="28"/>
          <w:szCs w:val="28"/>
        </w:rPr>
        <w:t>MIDLANDS STATE UNIVERSITY</w:t>
      </w:r>
    </w:p>
    <w:p w14:paraId="4A850D59" w14:textId="77777777" w:rsidR="00EF513F" w:rsidRPr="00091A37" w:rsidRDefault="00EF513F" w:rsidP="00EF513F">
      <w:pPr>
        <w:shd w:val="clear" w:color="auto" w:fill="FFFFFF"/>
        <w:spacing w:before="100" w:beforeAutospacing="1" w:after="100" w:afterAutospacing="1" w:line="360" w:lineRule="auto"/>
        <w:jc w:val="center"/>
        <w:rPr>
          <w:rFonts w:ascii="Arial" w:hAnsi="Arial" w:cs="Arial"/>
          <w:b/>
          <w:sz w:val="28"/>
          <w:szCs w:val="28"/>
        </w:rPr>
      </w:pPr>
      <w:r w:rsidRPr="00091A37">
        <w:rPr>
          <w:b/>
          <w:sz w:val="28"/>
          <w:szCs w:val="28"/>
        </w:rPr>
        <w:t>FACULTY OF BUSINESS SCIENCES</w:t>
      </w:r>
    </w:p>
    <w:p w14:paraId="6D5DF2AF" w14:textId="77777777" w:rsidR="00EF513F" w:rsidRPr="00091A37" w:rsidRDefault="00EF513F" w:rsidP="00EF513F">
      <w:pPr>
        <w:shd w:val="clear" w:color="auto" w:fill="FFFFFF"/>
        <w:spacing w:before="100" w:beforeAutospacing="1" w:after="100" w:afterAutospacing="1" w:line="360" w:lineRule="auto"/>
        <w:jc w:val="center"/>
        <w:rPr>
          <w:b/>
          <w:sz w:val="28"/>
          <w:szCs w:val="28"/>
        </w:rPr>
      </w:pPr>
      <w:r w:rsidRPr="00091A37">
        <w:rPr>
          <w:b/>
          <w:sz w:val="28"/>
          <w:szCs w:val="28"/>
        </w:rPr>
        <w:t>DEPARTMENT OF INFORMATION AND MARKETING SCIENCES</w:t>
      </w:r>
    </w:p>
    <w:p w14:paraId="48341E3B" w14:textId="77777777" w:rsidR="00EF513F" w:rsidRPr="00146B31" w:rsidRDefault="00EF513F" w:rsidP="00EF513F">
      <w:pPr>
        <w:shd w:val="clear" w:color="auto" w:fill="FFFFFF"/>
        <w:spacing w:before="100" w:beforeAutospacing="1" w:after="100" w:afterAutospacing="1" w:line="360" w:lineRule="auto"/>
        <w:jc w:val="center"/>
        <w:rPr>
          <w:b/>
        </w:rPr>
      </w:pPr>
      <w:r w:rsidRPr="00091A37">
        <w:rPr>
          <w:b/>
          <w:sz w:val="28"/>
          <w:szCs w:val="28"/>
        </w:rPr>
        <w:t>BACHELOR OF COMMERCE IN INFORMATION SYSTEMS DEGREE/DATA SCIENCE AND INFORMATICS</w:t>
      </w:r>
      <w:r>
        <w:rPr>
          <w:b/>
        </w:rPr>
        <w:t xml:space="preserve"> </w:t>
      </w:r>
    </w:p>
    <w:p w14:paraId="1278A49D" w14:textId="77777777" w:rsidR="00EF513F" w:rsidRPr="00146B31" w:rsidRDefault="00EF513F" w:rsidP="00EF513F">
      <w:pPr>
        <w:shd w:val="clear" w:color="auto" w:fill="FFFFFF"/>
        <w:spacing w:before="100" w:beforeAutospacing="1" w:after="100" w:afterAutospacing="1" w:line="360" w:lineRule="auto"/>
        <w:jc w:val="center"/>
        <w:rPr>
          <w:b/>
        </w:rPr>
      </w:pPr>
      <w:r w:rsidRPr="00146B31">
        <w:rPr>
          <w:b/>
          <w:szCs w:val="32"/>
        </w:rPr>
        <w:t xml:space="preserve">WORK RELATED LEARNING </w:t>
      </w:r>
      <w:r>
        <w:rPr>
          <w:b/>
          <w:szCs w:val="32"/>
        </w:rPr>
        <w:t>PRELIMINARY REPORT (DSI340)</w:t>
      </w:r>
    </w:p>
    <w:p w14:paraId="394FD315" w14:textId="77777777" w:rsidR="00EF513F" w:rsidRPr="006757E5" w:rsidRDefault="00EF513F" w:rsidP="00EF513F">
      <w:pPr>
        <w:shd w:val="clear" w:color="auto" w:fill="FFFFFF"/>
        <w:spacing w:before="100" w:beforeAutospacing="1" w:after="100" w:afterAutospacing="1" w:line="360" w:lineRule="auto"/>
        <w:jc w:val="center"/>
        <w:rPr>
          <w:b/>
        </w:rPr>
      </w:pPr>
      <w:r>
        <w:rPr>
          <w:b/>
        </w:rPr>
        <w:t>FOR</w:t>
      </w:r>
    </w:p>
    <w:p w14:paraId="4661A15F" w14:textId="77777777" w:rsidR="00EF513F" w:rsidRDefault="00EF513F" w:rsidP="00EF513F">
      <w:pPr>
        <w:shd w:val="clear" w:color="auto" w:fill="FFFFFF"/>
        <w:spacing w:before="100" w:beforeAutospacing="1" w:after="100" w:afterAutospacing="1" w:line="360" w:lineRule="auto"/>
        <w:jc w:val="center"/>
        <w:rPr>
          <w:b/>
        </w:rPr>
      </w:pPr>
      <w:r>
        <w:rPr>
          <w:b/>
        </w:rPr>
        <w:t>CHENGETANAI MUKANHAIRI</w:t>
      </w:r>
      <w:r w:rsidRPr="006757E5">
        <w:rPr>
          <w:b/>
        </w:rPr>
        <w:t xml:space="preserve"> (</w:t>
      </w:r>
      <w:r>
        <w:rPr>
          <w:b/>
        </w:rPr>
        <w:t>R2115806X</w:t>
      </w:r>
      <w:r w:rsidRPr="006757E5">
        <w:rPr>
          <w:b/>
        </w:rPr>
        <w:t>)</w:t>
      </w:r>
    </w:p>
    <w:p w14:paraId="2A78A410" w14:textId="77777777" w:rsidR="00EF513F" w:rsidRDefault="00EF513F" w:rsidP="00EF513F">
      <w:pPr>
        <w:shd w:val="clear" w:color="auto" w:fill="FFFFFF"/>
        <w:spacing w:before="100" w:beforeAutospacing="1" w:after="100" w:afterAutospacing="1" w:line="360" w:lineRule="auto"/>
        <w:jc w:val="center"/>
        <w:rPr>
          <w:b/>
        </w:rPr>
      </w:pPr>
      <w:r>
        <w:rPr>
          <w:b/>
        </w:rPr>
        <w:t>AT</w:t>
      </w:r>
    </w:p>
    <w:p w14:paraId="713AB886" w14:textId="77777777" w:rsidR="00EF513F" w:rsidRDefault="00EF513F" w:rsidP="00EF513F">
      <w:pPr>
        <w:shd w:val="clear" w:color="auto" w:fill="FFFFFF"/>
        <w:spacing w:before="100" w:beforeAutospacing="1" w:after="100" w:afterAutospacing="1" w:line="360" w:lineRule="auto"/>
        <w:jc w:val="center"/>
        <w:rPr>
          <w:b/>
        </w:rPr>
      </w:pPr>
      <w:r>
        <w:rPr>
          <w:b/>
        </w:rPr>
        <w:t>CLAXON ACTUARIES</w:t>
      </w:r>
    </w:p>
    <w:p w14:paraId="74C5EE27" w14:textId="77777777" w:rsidR="00EF513F" w:rsidRPr="00146B31" w:rsidRDefault="00EF513F" w:rsidP="00EF513F">
      <w:pPr>
        <w:shd w:val="clear" w:color="auto" w:fill="FFFFFF"/>
        <w:spacing w:before="100" w:beforeAutospacing="1" w:after="100" w:afterAutospacing="1" w:line="360" w:lineRule="auto"/>
        <w:jc w:val="center"/>
        <w:rPr>
          <w:b/>
        </w:rPr>
      </w:pPr>
      <w:r>
        <w:rPr>
          <w:b/>
        </w:rPr>
        <w:t>Level - 3.</w:t>
      </w:r>
      <w:r w:rsidR="0077661A">
        <w:rPr>
          <w:b/>
        </w:rPr>
        <w:t>2</w:t>
      </w:r>
    </w:p>
    <w:p w14:paraId="684E4993" w14:textId="77777777" w:rsidR="00EF513F" w:rsidRPr="00146B31" w:rsidRDefault="00EF513F" w:rsidP="00EF513F">
      <w:pPr>
        <w:shd w:val="clear" w:color="auto" w:fill="FFFFFF"/>
        <w:spacing w:before="100" w:beforeAutospacing="1" w:after="100" w:afterAutospacing="1" w:line="360" w:lineRule="auto"/>
        <w:jc w:val="center"/>
        <w:rPr>
          <w:b/>
        </w:rPr>
      </w:pPr>
      <w:r>
        <w:rPr>
          <w:b/>
        </w:rPr>
        <w:t>MOE – CDP</w:t>
      </w:r>
    </w:p>
    <w:p w14:paraId="1E696C8A" w14:textId="77777777" w:rsidR="00EF513F" w:rsidRPr="00146B31" w:rsidRDefault="00EF513F" w:rsidP="00EF513F">
      <w:pPr>
        <w:shd w:val="clear" w:color="auto" w:fill="FFFFFF"/>
        <w:spacing w:before="100" w:beforeAutospacing="1" w:after="100" w:afterAutospacing="1" w:line="360" w:lineRule="auto"/>
        <w:jc w:val="center"/>
        <w:rPr>
          <w:b/>
        </w:rPr>
      </w:pPr>
      <w:r w:rsidRPr="006757E5">
        <w:rPr>
          <w:b/>
        </w:rPr>
        <w:t xml:space="preserve">THIS </w:t>
      </w:r>
      <w:r>
        <w:rPr>
          <w:b/>
        </w:rPr>
        <w:t>WRL REPORT</w:t>
      </w:r>
      <w:r w:rsidRPr="006757E5">
        <w:rPr>
          <w:b/>
        </w:rPr>
        <w:t xml:space="preserve"> IS SUBMITTED TO MIDLANDS STATE UNIVERSITY IN PARTIAL FULFILMENT OF THE REQUIREMENTS FOR THE BACHELOR </w:t>
      </w:r>
      <w:r w:rsidRPr="006757E5">
        <w:rPr>
          <w:b/>
          <w:lang w:val="en-ZA" w:eastAsia="en-ZW"/>
        </w:rPr>
        <w:t xml:space="preserve">OF </w:t>
      </w:r>
      <w:r>
        <w:rPr>
          <w:b/>
        </w:rPr>
        <w:t xml:space="preserve">COMMERCE DEGREE IN DATA SCIENCE AND INFORMATICS </w:t>
      </w:r>
    </w:p>
    <w:bookmarkEnd w:id="0"/>
    <w:p w14:paraId="4D759F55" w14:textId="77777777" w:rsidR="00EF513F" w:rsidRDefault="00701F2E" w:rsidP="00EF513F">
      <w:pPr>
        <w:shd w:val="clear" w:color="auto" w:fill="FFFFFF"/>
        <w:spacing w:before="100" w:beforeAutospacing="1" w:after="100" w:afterAutospacing="1" w:line="360" w:lineRule="auto"/>
        <w:jc w:val="center"/>
        <w:rPr>
          <w:b/>
        </w:rPr>
      </w:pPr>
      <w:r>
        <w:rPr>
          <w:b/>
        </w:rPr>
        <w:t>April</w:t>
      </w:r>
      <w:r w:rsidR="00EF513F">
        <w:rPr>
          <w:b/>
        </w:rPr>
        <w:t xml:space="preserve"> </w:t>
      </w:r>
      <w:r w:rsidR="00EF513F" w:rsidRPr="006757E5">
        <w:rPr>
          <w:b/>
        </w:rPr>
        <w:t>202</w:t>
      </w:r>
      <w:r w:rsidR="00004AF4">
        <w:rPr>
          <w:b/>
        </w:rPr>
        <w:t>6</w:t>
      </w:r>
    </w:p>
    <w:p w14:paraId="346E585F" w14:textId="77777777" w:rsidR="00EF513F" w:rsidRDefault="00EF513F">
      <w:pPr>
        <w:spacing w:after="240"/>
        <w:jc w:val="center"/>
        <w:rPr>
          <w:b/>
          <w:bCs/>
          <w:sz w:val="28"/>
          <w:szCs w:val="28"/>
        </w:rPr>
      </w:pPr>
    </w:p>
    <w:p w14:paraId="0840FBD9" w14:textId="77777777" w:rsidR="00EF513F" w:rsidRDefault="00EF513F">
      <w:pPr>
        <w:rPr>
          <w:b/>
          <w:bCs/>
          <w:sz w:val="28"/>
          <w:szCs w:val="28"/>
        </w:rPr>
      </w:pPr>
    </w:p>
    <w:p w14:paraId="400A6450" w14:textId="77777777" w:rsidR="002C1F35" w:rsidRDefault="00000000">
      <w:pPr>
        <w:spacing w:after="240"/>
        <w:jc w:val="center"/>
      </w:pPr>
      <w:r>
        <w:rPr>
          <w:b/>
          <w:bCs/>
          <w:sz w:val="28"/>
          <w:szCs w:val="28"/>
        </w:rPr>
        <w:t>ABSTRACT</w:t>
      </w:r>
    </w:p>
    <w:p w14:paraId="69B7188B" w14:textId="77777777" w:rsidR="002C1F35" w:rsidRDefault="002C1F35"/>
    <w:p w14:paraId="30357147" w14:textId="77777777" w:rsidR="002C1F35" w:rsidRDefault="00000000">
      <w:pPr>
        <w:spacing w:before="120" w:after="120" w:line="360" w:lineRule="auto"/>
        <w:jc w:val="both"/>
      </w:pPr>
      <w:r>
        <w:t>This report presents a comprehensive account of the Work Related Learning (WRL) experience undertaken at Claxon Actuaries (Pvt) Ltd, an actuarial consultancy firm located in Harare, Zimbabwe. The placement, conducted as part of the DSI342 programme under the Bachelor of Commerce in Data Science and Informatics at Midlands State University, spanned the period from August to September 2025. The report examines the organisational background, structure, and corporate culture of Claxon Actuaries, as well as the nature of the actuarial and financial services industry in which the company operates. Furthermore, the report interrogates the alignment between pre-placement expectations and the practical realities encountered, evaluates the relevance of assigned tasks to the academic degree programme, and documents the personal and professional competencies developed throughout the placement. Key themes include the integration of data science methodologies within actuarial practice, machine learning applications in insurance risk assessment, regulatory compliance in the context of IFRS 17 implementation, and the development of business intelligence solutions. The report concludes with recommendations directed at the university, the company, and future interns, with a view to enhancing the quality and outcomes of subsequent WRL placements.</w:t>
      </w:r>
    </w:p>
    <w:p w14:paraId="0D477009" w14:textId="77777777" w:rsidR="002C1F35" w:rsidRDefault="002C1F35"/>
    <w:p w14:paraId="08A1C870" w14:textId="77777777" w:rsidR="002C1F35" w:rsidRDefault="00000000">
      <w:pPr>
        <w:spacing w:before="120" w:after="120" w:line="360" w:lineRule="auto"/>
        <w:jc w:val="both"/>
      </w:pPr>
      <w:r>
        <w:rPr>
          <w:b/>
          <w:bCs/>
        </w:rPr>
        <w:t>Keywords:</w:t>
      </w:r>
    </w:p>
    <w:p w14:paraId="419328E2" w14:textId="77777777" w:rsidR="002C1F35" w:rsidRDefault="00000000">
      <w:pPr>
        <w:spacing w:before="120" w:after="120" w:line="360" w:lineRule="auto"/>
        <w:jc w:val="both"/>
      </w:pPr>
      <w:r>
        <w:t>Work Related Learning, Data Science, Actuarial Science, Machine Learning, IFRS 17, Risk Management, Business Intelligence, Insurance Analytics.</w:t>
      </w:r>
    </w:p>
    <w:p w14:paraId="459448C8" w14:textId="77777777" w:rsidR="002C1F35" w:rsidRDefault="00000000">
      <w:r>
        <w:br w:type="page"/>
      </w:r>
    </w:p>
    <w:p w14:paraId="64B902F6" w14:textId="77777777" w:rsidR="002C1F35" w:rsidRDefault="00000000">
      <w:pPr>
        <w:spacing w:after="240"/>
        <w:jc w:val="center"/>
      </w:pPr>
      <w:r>
        <w:rPr>
          <w:b/>
          <w:bCs/>
          <w:sz w:val="28"/>
          <w:szCs w:val="28"/>
        </w:rPr>
        <w:lastRenderedPageBreak/>
        <w:t>DECLARATION</w:t>
      </w:r>
    </w:p>
    <w:p w14:paraId="28B37D32" w14:textId="77777777" w:rsidR="002C1F35" w:rsidRDefault="002C1F35"/>
    <w:p w14:paraId="08D6BB3D" w14:textId="77777777" w:rsidR="002C1F35" w:rsidRDefault="00000000">
      <w:pPr>
        <w:spacing w:before="120" w:after="120" w:line="360" w:lineRule="auto"/>
        <w:jc w:val="both"/>
      </w:pPr>
      <w:r>
        <w:t>The undersigned hereby declares that this Work Related Learning Report is an original work produced independently. It has not been previously submitted to any institution for the purpose of obtaining any qualification. All sources consulted in the preparation of this report have been duly acknowledged and referenced in accordance with the Harvard Referencing System.</w:t>
      </w:r>
    </w:p>
    <w:p w14:paraId="30D9BEFF" w14:textId="77777777" w:rsidR="002C1F35" w:rsidRDefault="002C1F35"/>
    <w:p w14:paraId="2C80FA14" w14:textId="77777777" w:rsidR="002C1F35" w:rsidRDefault="002C1F35"/>
    <w:p w14:paraId="29157649" w14:textId="77777777" w:rsidR="002C1F35" w:rsidRDefault="00000000">
      <w:r>
        <w:br w:type="page"/>
      </w:r>
    </w:p>
    <w:p w14:paraId="37678FEF" w14:textId="77777777" w:rsidR="002C1F35" w:rsidRDefault="00000000">
      <w:pPr>
        <w:spacing w:after="240"/>
        <w:jc w:val="center"/>
      </w:pPr>
      <w:r>
        <w:rPr>
          <w:b/>
          <w:bCs/>
          <w:sz w:val="28"/>
          <w:szCs w:val="28"/>
        </w:rPr>
        <w:lastRenderedPageBreak/>
        <w:t>ACKNOWLEDGEMENTS</w:t>
      </w:r>
    </w:p>
    <w:p w14:paraId="1B098D42" w14:textId="77777777" w:rsidR="002C1F35" w:rsidRDefault="002C1F35"/>
    <w:p w14:paraId="587CD0C0" w14:textId="77777777" w:rsidR="002C1F35" w:rsidRDefault="00000000">
      <w:pPr>
        <w:spacing w:before="120" w:after="120" w:line="360" w:lineRule="auto"/>
        <w:jc w:val="both"/>
      </w:pPr>
      <w:r>
        <w:t>The completion of this Work Related Learning placement and the production of this report would not have been possible without the support and guidance of several individuals and institutions. Sincere gratitude is extended to the management and staff of Claxon Actuaries (Pvt) Ltd for providing a stimulating and professionally enriching environment. Special appreciation is directed to the immediate supervisors and colleagues whose mentorship, patience, and willingness to share technical knowledge greatly facilitated the learning process throughout the placement.</w:t>
      </w:r>
    </w:p>
    <w:p w14:paraId="4761434C" w14:textId="77777777" w:rsidR="002C1F35" w:rsidRDefault="00000000">
      <w:pPr>
        <w:spacing w:before="120" w:after="120" w:line="360" w:lineRule="auto"/>
        <w:jc w:val="both"/>
      </w:pPr>
      <w:r>
        <w:t>Appreciation is further extended to Midlands State University, and in particular to the Faculty of Business Sciences and the Department of Information and Marketing Sciences, for structuring a curriculum that adequately prepares students for industry exposure. The academic supervisor's guidance during the preparation of this report is also gratefully acknowledged.</w:t>
      </w:r>
    </w:p>
    <w:p w14:paraId="795F8383" w14:textId="77777777" w:rsidR="002C1F35" w:rsidRDefault="00000000">
      <w:pPr>
        <w:spacing w:before="120" w:after="120" w:line="360" w:lineRule="auto"/>
        <w:jc w:val="both"/>
      </w:pPr>
      <w:r>
        <w:t>Finally, gratitude is expressed to family members and peers whose moral support and encouragement were invaluable throughout the duration of this programme.</w:t>
      </w:r>
    </w:p>
    <w:p w14:paraId="60452EAD" w14:textId="77777777" w:rsidR="002C1F35" w:rsidRDefault="00000000">
      <w:r>
        <w:br w:type="page"/>
      </w:r>
    </w:p>
    <w:p w14:paraId="591C86E0" w14:textId="77777777" w:rsidR="002C1F35" w:rsidRDefault="00000000">
      <w:pPr>
        <w:spacing w:after="240"/>
        <w:jc w:val="center"/>
      </w:pPr>
      <w:r>
        <w:rPr>
          <w:b/>
          <w:bCs/>
          <w:sz w:val="28"/>
          <w:szCs w:val="28"/>
        </w:rPr>
        <w:lastRenderedPageBreak/>
        <w:t>LIST OF ACRONYMS</w:t>
      </w:r>
    </w:p>
    <w:p w14:paraId="366F2C06" w14:textId="77777777" w:rsidR="002C1F35" w:rsidRDefault="002C1F35"/>
    <w:p w14:paraId="61F8A431" w14:textId="77777777" w:rsidR="002C1F35" w:rsidRDefault="00000000">
      <w:pPr>
        <w:spacing w:before="120" w:after="120" w:line="360" w:lineRule="auto"/>
        <w:jc w:val="both"/>
      </w:pPr>
      <w:r>
        <w:t>AI        –  Artificial Intelligence</w:t>
      </w:r>
    </w:p>
    <w:p w14:paraId="1ABFC69E" w14:textId="77777777" w:rsidR="002C1F35" w:rsidRDefault="00000000">
      <w:pPr>
        <w:spacing w:before="120" w:after="120" w:line="360" w:lineRule="auto"/>
        <w:jc w:val="both"/>
      </w:pPr>
      <w:r>
        <w:t>API       –  Application Programming Interface</w:t>
      </w:r>
    </w:p>
    <w:p w14:paraId="4A335492" w14:textId="77777777" w:rsidR="002C1F35" w:rsidRDefault="00000000">
      <w:pPr>
        <w:spacing w:before="120" w:after="120" w:line="360" w:lineRule="auto"/>
        <w:jc w:val="both"/>
      </w:pPr>
      <w:r>
        <w:t>BI        –  Business Intelligence</w:t>
      </w:r>
    </w:p>
    <w:p w14:paraId="2E402F38" w14:textId="77777777" w:rsidR="002C1F35" w:rsidRDefault="00000000">
      <w:pPr>
        <w:spacing w:before="120" w:after="120" w:line="360" w:lineRule="auto"/>
        <w:jc w:val="both"/>
      </w:pPr>
      <w:r>
        <w:t>B.Com     –  Bachelor of Commerce</w:t>
      </w:r>
    </w:p>
    <w:p w14:paraId="6F604A70" w14:textId="77777777" w:rsidR="002C1F35" w:rsidRDefault="00000000">
      <w:pPr>
        <w:spacing w:before="120" w:after="120" w:line="360" w:lineRule="auto"/>
        <w:jc w:val="both"/>
      </w:pPr>
      <w:r>
        <w:t>CDP       –  Career Development Programme</w:t>
      </w:r>
    </w:p>
    <w:p w14:paraId="5C149562" w14:textId="77777777" w:rsidR="002C1F35" w:rsidRDefault="00000000">
      <w:pPr>
        <w:spacing w:before="120" w:after="120" w:line="360" w:lineRule="auto"/>
        <w:jc w:val="both"/>
      </w:pPr>
      <w:r>
        <w:t>DSI       –  Data Science and Informatics</w:t>
      </w:r>
    </w:p>
    <w:p w14:paraId="1CB3C39E" w14:textId="77777777" w:rsidR="002C1F35" w:rsidRDefault="00000000">
      <w:pPr>
        <w:spacing w:before="120" w:after="120" w:line="360" w:lineRule="auto"/>
        <w:jc w:val="both"/>
      </w:pPr>
      <w:r>
        <w:t>ERM       –  Enterprise Risk Management</w:t>
      </w:r>
    </w:p>
    <w:p w14:paraId="37645745" w14:textId="77777777" w:rsidR="002C1F35" w:rsidRDefault="00000000">
      <w:pPr>
        <w:spacing w:before="120" w:after="120" w:line="360" w:lineRule="auto"/>
        <w:jc w:val="both"/>
      </w:pPr>
      <w:r>
        <w:t>ETL       –  Extract, Transform, Load</w:t>
      </w:r>
    </w:p>
    <w:p w14:paraId="1F74C7DD" w14:textId="77777777" w:rsidR="002C1F35" w:rsidRDefault="00000000">
      <w:pPr>
        <w:spacing w:before="120" w:after="120" w:line="360" w:lineRule="auto"/>
        <w:jc w:val="both"/>
      </w:pPr>
      <w:r>
        <w:t>IFRS      –  International Financial Reporting Standards</w:t>
      </w:r>
    </w:p>
    <w:p w14:paraId="5E241BEF" w14:textId="77777777" w:rsidR="002C1F35" w:rsidRDefault="00000000">
      <w:pPr>
        <w:spacing w:before="120" w:after="120" w:line="360" w:lineRule="auto"/>
        <w:jc w:val="both"/>
      </w:pPr>
      <w:r>
        <w:t>IPC       –  Insurance and Pensions Commission</w:t>
      </w:r>
    </w:p>
    <w:p w14:paraId="2A5097F0" w14:textId="77777777" w:rsidR="002C1F35" w:rsidRDefault="00000000">
      <w:pPr>
        <w:spacing w:before="120" w:after="120" w:line="360" w:lineRule="auto"/>
        <w:jc w:val="both"/>
      </w:pPr>
      <w:r>
        <w:t>IT        –  Information Technology</w:t>
      </w:r>
    </w:p>
    <w:p w14:paraId="70E18C2E" w14:textId="77777777" w:rsidR="002C1F35" w:rsidRDefault="00000000">
      <w:pPr>
        <w:spacing w:before="120" w:after="120" w:line="360" w:lineRule="auto"/>
        <w:jc w:val="both"/>
      </w:pPr>
      <w:r>
        <w:t>KPI       –  Key Performance Indicator</w:t>
      </w:r>
    </w:p>
    <w:p w14:paraId="17CBB12E" w14:textId="77777777" w:rsidR="002C1F35" w:rsidRDefault="00000000">
      <w:pPr>
        <w:spacing w:before="120" w:after="120" w:line="360" w:lineRule="auto"/>
        <w:jc w:val="both"/>
      </w:pPr>
      <w:r>
        <w:t>ML        –  Machine Learning</w:t>
      </w:r>
    </w:p>
    <w:p w14:paraId="7C58FDE9" w14:textId="77777777" w:rsidR="002C1F35" w:rsidRDefault="00000000">
      <w:pPr>
        <w:spacing w:before="120" w:after="120" w:line="360" w:lineRule="auto"/>
        <w:jc w:val="both"/>
      </w:pPr>
      <w:r>
        <w:t>MOE       –  Ministry of Education</w:t>
      </w:r>
    </w:p>
    <w:p w14:paraId="7D11C96E" w14:textId="77777777" w:rsidR="002C1F35" w:rsidRDefault="00000000">
      <w:pPr>
        <w:spacing w:before="120" w:after="120" w:line="360" w:lineRule="auto"/>
        <w:jc w:val="both"/>
      </w:pPr>
      <w:r>
        <w:t>MSU       –  Midlands State University</w:t>
      </w:r>
    </w:p>
    <w:p w14:paraId="2E696F7B" w14:textId="77777777" w:rsidR="002C1F35" w:rsidRDefault="00000000">
      <w:pPr>
        <w:spacing w:before="120" w:after="120" w:line="360" w:lineRule="auto"/>
        <w:jc w:val="both"/>
      </w:pPr>
      <w:r>
        <w:t>NLP       –  Natural Language Processing</w:t>
      </w:r>
    </w:p>
    <w:p w14:paraId="1DE69887" w14:textId="77777777" w:rsidR="002C1F35" w:rsidRDefault="00000000">
      <w:pPr>
        <w:spacing w:before="120" w:after="120" w:line="360" w:lineRule="auto"/>
        <w:jc w:val="both"/>
      </w:pPr>
      <w:r>
        <w:t>PwC       –  PricewaterhouseCoopers</w:t>
      </w:r>
    </w:p>
    <w:p w14:paraId="32763A87" w14:textId="77777777" w:rsidR="002C1F35" w:rsidRDefault="00000000">
      <w:pPr>
        <w:spacing w:before="120" w:after="120" w:line="360" w:lineRule="auto"/>
        <w:jc w:val="both"/>
      </w:pPr>
      <w:r>
        <w:t>RBC       –  Risk-Based Capital</w:t>
      </w:r>
    </w:p>
    <w:p w14:paraId="7CB00B74" w14:textId="77777777" w:rsidR="002C1F35" w:rsidRDefault="00000000">
      <w:pPr>
        <w:spacing w:before="120" w:after="120" w:line="360" w:lineRule="auto"/>
        <w:jc w:val="both"/>
      </w:pPr>
      <w:r>
        <w:t>RBZ       –  Reserve Bank of Zimbabwe</w:t>
      </w:r>
    </w:p>
    <w:p w14:paraId="08B46D1C" w14:textId="77777777" w:rsidR="002C1F35" w:rsidRDefault="00000000">
      <w:pPr>
        <w:spacing w:before="120" w:after="120" w:line="360" w:lineRule="auto"/>
        <w:jc w:val="both"/>
      </w:pPr>
      <w:r>
        <w:t>SQL       –  Structured Query Language</w:t>
      </w:r>
    </w:p>
    <w:p w14:paraId="0CCA8A57" w14:textId="77777777" w:rsidR="002C1F35" w:rsidRDefault="00000000">
      <w:pPr>
        <w:spacing w:before="120" w:after="120" w:line="360" w:lineRule="auto"/>
        <w:jc w:val="both"/>
      </w:pPr>
      <w:r>
        <w:t>WRL       –  Work Related Learning</w:t>
      </w:r>
    </w:p>
    <w:p w14:paraId="5129E3CD" w14:textId="77777777" w:rsidR="002C1F35" w:rsidRDefault="00000000">
      <w:pPr>
        <w:spacing w:before="120" w:after="120" w:line="360" w:lineRule="auto"/>
        <w:jc w:val="both"/>
      </w:pPr>
      <w:r>
        <w:t>ZIIA      –  Zimbabwe Insurance Industry Association</w:t>
      </w:r>
    </w:p>
    <w:p w14:paraId="2E97F9A4" w14:textId="1BFDC445" w:rsidR="004653F8" w:rsidRPr="004653F8" w:rsidRDefault="00000000" w:rsidP="004653F8">
      <w:pPr>
        <w:jc w:val="center"/>
        <w:rPr>
          <w:b/>
          <w:bCs/>
          <w:sz w:val="28"/>
          <w:szCs w:val="28"/>
        </w:rPr>
      </w:pPr>
      <w:r>
        <w:br w:type="page"/>
      </w:r>
      <w:r w:rsidR="004653F8" w:rsidRPr="004653F8">
        <w:rPr>
          <w:b/>
          <w:bCs/>
          <w:sz w:val="28"/>
          <w:szCs w:val="28"/>
        </w:rPr>
        <w:lastRenderedPageBreak/>
        <w:t>TABLE OF CONTENTS</w:t>
      </w:r>
    </w:p>
    <w:p w14:paraId="1750DBD4" w14:textId="77777777" w:rsidR="004653F8" w:rsidRDefault="004653F8" w:rsidP="004653F8">
      <w:pPr>
        <w:pStyle w:val="NormalWeb"/>
      </w:pPr>
      <w:r>
        <w:rPr>
          <w:b/>
          <w:bCs/>
        </w:rPr>
        <w:t>1. ABSTRACT</w:t>
      </w:r>
      <w:r>
        <w:t xml:space="preserve"> ................................................................................................... 1</w:t>
      </w:r>
    </w:p>
    <w:p w14:paraId="140DFFED" w14:textId="77777777" w:rsidR="004653F8" w:rsidRDefault="004653F8" w:rsidP="004653F8">
      <w:pPr>
        <w:pStyle w:val="NormalWeb"/>
      </w:pPr>
      <w:r>
        <w:rPr>
          <w:b/>
          <w:bCs/>
        </w:rPr>
        <w:t>2. DECLARATION</w:t>
      </w:r>
      <w:r>
        <w:t xml:space="preserve"> ........................................................................................... 2</w:t>
      </w:r>
    </w:p>
    <w:p w14:paraId="781FEB81" w14:textId="77777777" w:rsidR="004653F8" w:rsidRDefault="004653F8" w:rsidP="004653F8">
      <w:pPr>
        <w:pStyle w:val="NormalWeb"/>
      </w:pPr>
      <w:r>
        <w:rPr>
          <w:b/>
          <w:bCs/>
        </w:rPr>
        <w:t>3. ACKNOWLEDGEMENTS</w:t>
      </w:r>
      <w:r>
        <w:t xml:space="preserve"> ......................................................................... 3</w:t>
      </w:r>
    </w:p>
    <w:p w14:paraId="7B9AADD8" w14:textId="77777777" w:rsidR="004653F8" w:rsidRDefault="004653F8" w:rsidP="004653F8">
      <w:pPr>
        <w:pStyle w:val="NormalWeb"/>
      </w:pPr>
      <w:r>
        <w:rPr>
          <w:b/>
          <w:bCs/>
        </w:rPr>
        <w:t>4. LIST OF ACRONYMS</w:t>
      </w:r>
      <w:r>
        <w:t xml:space="preserve"> ................................................................................ 4</w:t>
      </w:r>
    </w:p>
    <w:p w14:paraId="780C2C94" w14:textId="77777777" w:rsidR="004653F8" w:rsidRDefault="004653F8" w:rsidP="004653F8">
      <w:pPr>
        <w:pStyle w:val="NormalWeb"/>
      </w:pPr>
      <w:r>
        <w:rPr>
          <w:b/>
          <w:bCs/>
        </w:rPr>
        <w:t>5. LIST OF FIGURES &amp; TABLES</w:t>
      </w:r>
      <w:r>
        <w:t xml:space="preserve"> ................................................................. 5</w:t>
      </w:r>
    </w:p>
    <w:p w14:paraId="06172660" w14:textId="77777777" w:rsidR="004653F8" w:rsidRDefault="004653F8" w:rsidP="004653F8">
      <w:pPr>
        <w:pStyle w:val="NormalWeb"/>
      </w:pPr>
      <w:r>
        <w:rPr>
          <w:b/>
          <w:bCs/>
        </w:rPr>
        <w:t>6. CHAPTER 1: INTRODUCTION</w:t>
      </w:r>
      <w:r>
        <w:t xml:space="preserve"> ................................................................ 6</w:t>
      </w:r>
    </w:p>
    <w:p w14:paraId="4127E70C" w14:textId="77777777" w:rsidR="004653F8" w:rsidRDefault="004653F8" w:rsidP="004653F8">
      <w:pPr>
        <w:pStyle w:val="NormalWeb"/>
      </w:pPr>
      <w:r>
        <w:t>1.1 Introduction .............................................................................................. 6</w:t>
      </w:r>
    </w:p>
    <w:p w14:paraId="32D79DB6" w14:textId="77777777" w:rsidR="004653F8" w:rsidRDefault="004653F8" w:rsidP="004653F8">
      <w:pPr>
        <w:pStyle w:val="NormalWeb"/>
      </w:pPr>
      <w:r>
        <w:t>1.2 Background and History of the Organisation ........................................... 6</w:t>
      </w:r>
    </w:p>
    <w:p w14:paraId="14CA2D9B" w14:textId="77777777" w:rsidR="004653F8" w:rsidRDefault="004653F8" w:rsidP="004653F8">
      <w:pPr>
        <w:pStyle w:val="NormalWeb"/>
      </w:pPr>
      <w:r>
        <w:t>1.3 Organisational Structure and Corporate Culture ..................................... 7</w:t>
      </w:r>
    </w:p>
    <w:p w14:paraId="2B4448A9" w14:textId="77777777" w:rsidR="004653F8" w:rsidRDefault="004653F8" w:rsidP="004653F8">
      <w:pPr>
        <w:pStyle w:val="NormalWeb"/>
      </w:pPr>
      <w:r>
        <w:rPr>
          <w:b/>
          <w:bCs/>
        </w:rPr>
        <w:t>7. CHAPTER 2: NATURE OF INDUSTRY</w:t>
      </w:r>
      <w:r>
        <w:t xml:space="preserve"> .................................................. 8</w:t>
      </w:r>
    </w:p>
    <w:p w14:paraId="75A43B75" w14:textId="77777777" w:rsidR="004653F8" w:rsidRDefault="004653F8" w:rsidP="004653F8">
      <w:pPr>
        <w:pStyle w:val="NormalWeb"/>
      </w:pPr>
      <w:r>
        <w:t>2.1 Nature of Industry and Industry Requirements ....................................... 8</w:t>
      </w:r>
    </w:p>
    <w:p w14:paraId="3889DCF5" w14:textId="77777777" w:rsidR="004653F8" w:rsidRDefault="004653F8" w:rsidP="004653F8">
      <w:pPr>
        <w:pStyle w:val="NormalWeb"/>
      </w:pPr>
      <w:r>
        <w:t>2.2 Products and Service Markets .................................................................. 9</w:t>
      </w:r>
    </w:p>
    <w:p w14:paraId="1BEE7ABF" w14:textId="77777777" w:rsidR="004653F8" w:rsidRDefault="004653F8" w:rsidP="004653F8">
      <w:pPr>
        <w:pStyle w:val="NormalWeb"/>
      </w:pPr>
      <w:r>
        <w:t>2.3 Company and Society Connection ........................................................... 9</w:t>
      </w:r>
    </w:p>
    <w:p w14:paraId="26E7BFC3" w14:textId="77777777" w:rsidR="004653F8" w:rsidRDefault="004653F8" w:rsidP="004653F8">
      <w:pPr>
        <w:pStyle w:val="NormalWeb"/>
      </w:pPr>
      <w:r>
        <w:rPr>
          <w:b/>
          <w:bCs/>
        </w:rPr>
        <w:t>8. CHAPTER 3: EXPECTATIONS VS REALITY</w:t>
      </w:r>
      <w:r>
        <w:t xml:space="preserve"> ..................................... 10</w:t>
      </w:r>
    </w:p>
    <w:p w14:paraId="23B47588" w14:textId="77777777" w:rsidR="004653F8" w:rsidRDefault="004653F8" w:rsidP="004653F8">
      <w:pPr>
        <w:pStyle w:val="NormalWeb"/>
      </w:pPr>
      <w:r>
        <w:t>3.1 Expectations vs Reality .......................................................................... 10</w:t>
      </w:r>
    </w:p>
    <w:p w14:paraId="5D0DA624" w14:textId="77777777" w:rsidR="004653F8" w:rsidRDefault="004653F8" w:rsidP="004653F8">
      <w:pPr>
        <w:pStyle w:val="NormalWeb"/>
      </w:pPr>
      <w:r>
        <w:t>3.2 WRL Assignments and Relevance to the Degree Programme ............... 11</w:t>
      </w:r>
    </w:p>
    <w:p w14:paraId="6FAB94B5" w14:textId="77777777" w:rsidR="004653F8" w:rsidRDefault="004653F8" w:rsidP="004653F8">
      <w:pPr>
        <w:pStyle w:val="NormalWeb"/>
      </w:pPr>
      <w:r>
        <w:rPr>
          <w:b/>
          <w:bCs/>
        </w:rPr>
        <w:t>9. CHAPTER 4: PERSONAL AND PROFESSIONAL DEVELOPMENT</w:t>
      </w:r>
      <w:r>
        <w:t xml:space="preserve"> .. 12</w:t>
      </w:r>
    </w:p>
    <w:p w14:paraId="2474D798" w14:textId="77777777" w:rsidR="004653F8" w:rsidRDefault="004653F8" w:rsidP="004653F8">
      <w:pPr>
        <w:pStyle w:val="NormalWeb"/>
      </w:pPr>
      <w:r>
        <w:t>4.1 Key Skills Developed ............................................................................. 12</w:t>
      </w:r>
    </w:p>
    <w:p w14:paraId="317FB52A" w14:textId="77777777" w:rsidR="004653F8" w:rsidRDefault="004653F8" w:rsidP="004653F8">
      <w:pPr>
        <w:pStyle w:val="NormalWeb"/>
      </w:pPr>
      <w:r>
        <w:t>4.2 Personal Development ........................................................................... 13</w:t>
      </w:r>
    </w:p>
    <w:p w14:paraId="0B55E906" w14:textId="77777777" w:rsidR="004653F8" w:rsidRDefault="004653F8" w:rsidP="004653F8">
      <w:pPr>
        <w:pStyle w:val="NormalWeb"/>
      </w:pPr>
      <w:r>
        <w:t>4.3 Handling Conflict Between Personal and Organisational Objectives .... 13</w:t>
      </w:r>
    </w:p>
    <w:p w14:paraId="79D939B5" w14:textId="77777777" w:rsidR="004653F8" w:rsidRDefault="004653F8" w:rsidP="004653F8">
      <w:pPr>
        <w:pStyle w:val="NormalWeb"/>
      </w:pPr>
      <w:r>
        <w:rPr>
          <w:b/>
          <w:bCs/>
        </w:rPr>
        <w:t>10. CHAPTER 5: CONCLUSION &amp; RECOMMENDATIONS</w:t>
      </w:r>
      <w:r>
        <w:t xml:space="preserve"> .................. 14</w:t>
      </w:r>
    </w:p>
    <w:p w14:paraId="1D87CD3E" w14:textId="77777777" w:rsidR="004653F8" w:rsidRDefault="004653F8" w:rsidP="004653F8">
      <w:pPr>
        <w:pStyle w:val="NormalWeb"/>
      </w:pPr>
      <w:r>
        <w:t>5.1 Re-Entry into the University .................................................................. 14</w:t>
      </w:r>
    </w:p>
    <w:p w14:paraId="7DD979FE" w14:textId="77777777" w:rsidR="004653F8" w:rsidRDefault="004653F8" w:rsidP="004653F8">
      <w:pPr>
        <w:pStyle w:val="NormalWeb"/>
      </w:pPr>
      <w:r>
        <w:lastRenderedPageBreak/>
        <w:t>5.2 Recommendations to the University ...................................................... 15</w:t>
      </w:r>
    </w:p>
    <w:p w14:paraId="1B2A0780" w14:textId="77777777" w:rsidR="004653F8" w:rsidRDefault="004653F8" w:rsidP="004653F8">
      <w:pPr>
        <w:pStyle w:val="NormalWeb"/>
      </w:pPr>
      <w:r>
        <w:t>5.3 Recommendations to the Company ........................................................ 15</w:t>
      </w:r>
    </w:p>
    <w:p w14:paraId="366E87A7" w14:textId="77777777" w:rsidR="004653F8" w:rsidRDefault="004653F8" w:rsidP="004653F8">
      <w:pPr>
        <w:pStyle w:val="NormalWeb"/>
      </w:pPr>
      <w:r>
        <w:t>5.4 Conclusion .............................................................................................. 16</w:t>
      </w:r>
    </w:p>
    <w:p w14:paraId="4956D674" w14:textId="77777777" w:rsidR="004653F8" w:rsidRDefault="004653F8" w:rsidP="004653F8">
      <w:pPr>
        <w:pStyle w:val="NormalWeb"/>
      </w:pPr>
      <w:r>
        <w:rPr>
          <w:b/>
          <w:bCs/>
        </w:rPr>
        <w:t>11. REFERENCES</w:t>
      </w:r>
      <w:r>
        <w:t xml:space="preserve"> .......................................................................................... 17</w:t>
      </w:r>
    </w:p>
    <w:p w14:paraId="236DF03E" w14:textId="77777777" w:rsidR="004653F8" w:rsidRDefault="004653F8" w:rsidP="004653F8">
      <w:pPr>
        <w:pStyle w:val="NormalWeb"/>
      </w:pPr>
      <w:r>
        <w:rPr>
          <w:b/>
          <w:bCs/>
        </w:rPr>
        <w:t>12. APPENDICES</w:t>
      </w:r>
      <w:r>
        <w:t xml:space="preserve"> ........................................................................................... 18</w:t>
      </w:r>
    </w:p>
    <w:p w14:paraId="787594EA" w14:textId="4BA634AB" w:rsidR="002C1F35" w:rsidRDefault="002C1F35"/>
    <w:p w14:paraId="2026A3DD" w14:textId="77777777" w:rsidR="004653F8" w:rsidRDefault="004653F8">
      <w:pPr>
        <w:spacing w:after="240"/>
        <w:jc w:val="center"/>
        <w:rPr>
          <w:b/>
          <w:bCs/>
          <w:sz w:val="28"/>
          <w:szCs w:val="28"/>
        </w:rPr>
      </w:pPr>
    </w:p>
    <w:p w14:paraId="2D5EC606" w14:textId="77777777" w:rsidR="004653F8" w:rsidRDefault="004653F8">
      <w:pPr>
        <w:spacing w:after="240"/>
        <w:jc w:val="center"/>
        <w:rPr>
          <w:b/>
          <w:bCs/>
          <w:sz w:val="28"/>
          <w:szCs w:val="28"/>
        </w:rPr>
      </w:pPr>
    </w:p>
    <w:p w14:paraId="4B578529" w14:textId="77777777" w:rsidR="004653F8" w:rsidRDefault="004653F8">
      <w:pPr>
        <w:spacing w:after="240"/>
        <w:jc w:val="center"/>
        <w:rPr>
          <w:b/>
          <w:bCs/>
          <w:sz w:val="28"/>
          <w:szCs w:val="28"/>
        </w:rPr>
      </w:pPr>
    </w:p>
    <w:p w14:paraId="42FC2D59" w14:textId="77777777" w:rsidR="004653F8" w:rsidRDefault="004653F8">
      <w:pPr>
        <w:spacing w:after="240"/>
        <w:jc w:val="center"/>
        <w:rPr>
          <w:b/>
          <w:bCs/>
          <w:sz w:val="28"/>
          <w:szCs w:val="28"/>
        </w:rPr>
      </w:pPr>
    </w:p>
    <w:p w14:paraId="2ED82FB1" w14:textId="77777777" w:rsidR="004653F8" w:rsidRDefault="004653F8">
      <w:pPr>
        <w:spacing w:after="240"/>
        <w:jc w:val="center"/>
        <w:rPr>
          <w:b/>
          <w:bCs/>
          <w:sz w:val="28"/>
          <w:szCs w:val="28"/>
        </w:rPr>
      </w:pPr>
    </w:p>
    <w:p w14:paraId="432FC7D6" w14:textId="77777777" w:rsidR="004653F8" w:rsidRDefault="004653F8">
      <w:pPr>
        <w:spacing w:after="240"/>
        <w:jc w:val="center"/>
        <w:rPr>
          <w:b/>
          <w:bCs/>
          <w:sz w:val="28"/>
          <w:szCs w:val="28"/>
        </w:rPr>
      </w:pPr>
    </w:p>
    <w:p w14:paraId="26E12B7D" w14:textId="77777777" w:rsidR="004653F8" w:rsidRDefault="004653F8">
      <w:pPr>
        <w:spacing w:after="240"/>
        <w:jc w:val="center"/>
        <w:rPr>
          <w:b/>
          <w:bCs/>
          <w:sz w:val="28"/>
          <w:szCs w:val="28"/>
        </w:rPr>
      </w:pPr>
    </w:p>
    <w:p w14:paraId="7D069AA1" w14:textId="77777777" w:rsidR="004653F8" w:rsidRDefault="004653F8">
      <w:pPr>
        <w:spacing w:after="240"/>
        <w:jc w:val="center"/>
        <w:rPr>
          <w:b/>
          <w:bCs/>
          <w:sz w:val="28"/>
          <w:szCs w:val="28"/>
        </w:rPr>
      </w:pPr>
    </w:p>
    <w:p w14:paraId="66AD0B6E" w14:textId="77777777" w:rsidR="004653F8" w:rsidRDefault="004653F8">
      <w:pPr>
        <w:spacing w:after="240"/>
        <w:jc w:val="center"/>
        <w:rPr>
          <w:b/>
          <w:bCs/>
          <w:sz w:val="28"/>
          <w:szCs w:val="28"/>
        </w:rPr>
      </w:pPr>
    </w:p>
    <w:p w14:paraId="66901586" w14:textId="77777777" w:rsidR="004653F8" w:rsidRDefault="004653F8">
      <w:pPr>
        <w:spacing w:after="240"/>
        <w:jc w:val="center"/>
        <w:rPr>
          <w:b/>
          <w:bCs/>
          <w:sz w:val="28"/>
          <w:szCs w:val="28"/>
        </w:rPr>
      </w:pPr>
    </w:p>
    <w:p w14:paraId="6FB2BD72" w14:textId="77777777" w:rsidR="004653F8" w:rsidRDefault="004653F8">
      <w:pPr>
        <w:spacing w:after="240"/>
        <w:jc w:val="center"/>
        <w:rPr>
          <w:b/>
          <w:bCs/>
          <w:sz w:val="28"/>
          <w:szCs w:val="28"/>
        </w:rPr>
      </w:pPr>
    </w:p>
    <w:p w14:paraId="1546A539" w14:textId="77777777" w:rsidR="004653F8" w:rsidRDefault="004653F8">
      <w:pPr>
        <w:spacing w:after="240"/>
        <w:jc w:val="center"/>
        <w:rPr>
          <w:b/>
          <w:bCs/>
          <w:sz w:val="28"/>
          <w:szCs w:val="28"/>
        </w:rPr>
      </w:pPr>
    </w:p>
    <w:p w14:paraId="0F311C4B" w14:textId="77777777" w:rsidR="004653F8" w:rsidRDefault="004653F8">
      <w:pPr>
        <w:spacing w:after="240"/>
        <w:jc w:val="center"/>
        <w:rPr>
          <w:b/>
          <w:bCs/>
          <w:sz w:val="28"/>
          <w:szCs w:val="28"/>
        </w:rPr>
      </w:pPr>
    </w:p>
    <w:p w14:paraId="160E7BDA" w14:textId="77777777" w:rsidR="004653F8" w:rsidRDefault="004653F8">
      <w:pPr>
        <w:spacing w:after="240"/>
        <w:jc w:val="center"/>
        <w:rPr>
          <w:b/>
          <w:bCs/>
          <w:sz w:val="28"/>
          <w:szCs w:val="28"/>
        </w:rPr>
      </w:pPr>
    </w:p>
    <w:p w14:paraId="00D9CD99" w14:textId="77777777" w:rsidR="004653F8" w:rsidRDefault="004653F8">
      <w:pPr>
        <w:spacing w:after="240"/>
        <w:jc w:val="center"/>
        <w:rPr>
          <w:b/>
          <w:bCs/>
          <w:sz w:val="28"/>
          <w:szCs w:val="28"/>
        </w:rPr>
      </w:pPr>
    </w:p>
    <w:p w14:paraId="281407B9" w14:textId="77777777" w:rsidR="004653F8" w:rsidRDefault="004653F8">
      <w:pPr>
        <w:spacing w:after="240"/>
        <w:jc w:val="center"/>
        <w:rPr>
          <w:b/>
          <w:bCs/>
          <w:sz w:val="28"/>
          <w:szCs w:val="28"/>
        </w:rPr>
      </w:pPr>
    </w:p>
    <w:p w14:paraId="76B698B8" w14:textId="77777777" w:rsidR="004653F8" w:rsidRDefault="004653F8">
      <w:pPr>
        <w:spacing w:after="240"/>
        <w:jc w:val="center"/>
        <w:rPr>
          <w:b/>
          <w:bCs/>
          <w:sz w:val="28"/>
          <w:szCs w:val="28"/>
        </w:rPr>
      </w:pPr>
    </w:p>
    <w:p w14:paraId="6B361177" w14:textId="77777777" w:rsidR="004653F8" w:rsidRDefault="004653F8">
      <w:pPr>
        <w:spacing w:after="240"/>
        <w:jc w:val="center"/>
        <w:rPr>
          <w:b/>
          <w:bCs/>
          <w:sz w:val="28"/>
          <w:szCs w:val="28"/>
        </w:rPr>
      </w:pPr>
    </w:p>
    <w:p w14:paraId="51DED37C" w14:textId="560DD1CA" w:rsidR="002C1F35" w:rsidRDefault="00000000">
      <w:pPr>
        <w:spacing w:after="240"/>
        <w:jc w:val="center"/>
      </w:pPr>
      <w:r>
        <w:rPr>
          <w:b/>
          <w:bCs/>
          <w:sz w:val="28"/>
          <w:szCs w:val="28"/>
        </w:rPr>
        <w:lastRenderedPageBreak/>
        <w:t>LIST OF FIGURES</w:t>
      </w:r>
    </w:p>
    <w:p w14:paraId="6C642D43" w14:textId="77777777" w:rsidR="002C1F35" w:rsidRDefault="002C1F35"/>
    <w:p w14:paraId="5A294EC9" w14:textId="77777777" w:rsidR="002C1F35" w:rsidRDefault="00000000">
      <w:pPr>
        <w:spacing w:before="120" w:after="120" w:line="360" w:lineRule="auto"/>
        <w:jc w:val="both"/>
      </w:pPr>
      <w:r>
        <w:t>Figure 1: Organisational Chart of Claxon Actuaries (Pvt) Ltd ....................................  [page]</w:t>
      </w:r>
    </w:p>
    <w:p w14:paraId="7DC06123" w14:textId="77777777" w:rsidR="002C1F35" w:rsidRDefault="00000000">
      <w:pPr>
        <w:spacing w:before="120" w:after="120" w:line="360" w:lineRule="auto"/>
        <w:jc w:val="both"/>
      </w:pPr>
      <w:r>
        <w:t>Figure 2: Customer Segmentation Model – K-Means Cluster Output ...............................  [page]</w:t>
      </w:r>
    </w:p>
    <w:p w14:paraId="585B8009" w14:textId="77777777" w:rsidR="002C1F35" w:rsidRDefault="00000000">
      <w:pPr>
        <w:spacing w:before="120" w:after="120" w:line="360" w:lineRule="auto"/>
        <w:jc w:val="both"/>
      </w:pPr>
      <w:r>
        <w:t>Figure 3: Claims Prediction Model – Random Forest Accuracy Metrics ...........................  [page]</w:t>
      </w:r>
    </w:p>
    <w:p w14:paraId="494BD114" w14:textId="77777777" w:rsidR="002C1F35" w:rsidRDefault="00000000">
      <w:pPr>
        <w:spacing w:before="120" w:after="120" w:line="360" w:lineRule="auto"/>
        <w:jc w:val="both"/>
      </w:pPr>
      <w:r>
        <w:t>Figure 4: Risk Assessment Dashboard Interface (Tableau) .........................................  [page]</w:t>
      </w:r>
    </w:p>
    <w:p w14:paraId="7CA0D71C" w14:textId="77777777" w:rsidR="002C1F35" w:rsidRDefault="00000000">
      <w:r>
        <w:br w:type="page"/>
      </w:r>
    </w:p>
    <w:p w14:paraId="41694E20" w14:textId="77777777" w:rsidR="002C1F35" w:rsidRDefault="00000000">
      <w:pPr>
        <w:spacing w:after="240"/>
        <w:jc w:val="center"/>
      </w:pPr>
      <w:r>
        <w:rPr>
          <w:b/>
          <w:bCs/>
          <w:sz w:val="28"/>
          <w:szCs w:val="28"/>
        </w:rPr>
        <w:lastRenderedPageBreak/>
        <w:t>LIST OF TABLES</w:t>
      </w:r>
    </w:p>
    <w:p w14:paraId="7FE6EC53" w14:textId="77777777" w:rsidR="002C1F35" w:rsidRDefault="002C1F35"/>
    <w:p w14:paraId="59053006" w14:textId="77777777" w:rsidR="002C1F35" w:rsidRDefault="00000000">
      <w:pPr>
        <w:spacing w:before="120" w:after="120" w:line="360" w:lineRule="auto"/>
        <w:jc w:val="both"/>
      </w:pPr>
      <w:r>
        <w:t>Table 1: Work Plan Phases and Deliverables ..............................................................  [page]</w:t>
      </w:r>
    </w:p>
    <w:p w14:paraId="37104A65" w14:textId="77777777" w:rsidR="002C1F35" w:rsidRDefault="00000000">
      <w:pPr>
        <w:spacing w:before="120" w:after="120" w:line="360" w:lineRule="auto"/>
        <w:jc w:val="both"/>
      </w:pPr>
      <w:r>
        <w:t>Table 2: Key Skills Developed During WRL Placement .................................................  [page]</w:t>
      </w:r>
    </w:p>
    <w:p w14:paraId="0702D3F8" w14:textId="77777777" w:rsidR="002C1F35" w:rsidRDefault="00000000">
      <w:pPr>
        <w:spacing w:before="120" w:after="120" w:line="360" w:lineRule="auto"/>
        <w:jc w:val="both"/>
      </w:pPr>
      <w:r>
        <w:t>Table 3: Expectations vs Reality Matrix ....................................................................  [page]</w:t>
      </w:r>
    </w:p>
    <w:p w14:paraId="128A8B51" w14:textId="77777777" w:rsidR="002C1F35" w:rsidRDefault="00000000">
      <w:r>
        <w:br w:type="page"/>
      </w:r>
    </w:p>
    <w:p w14:paraId="680F5B12" w14:textId="77777777" w:rsidR="002C1F35" w:rsidRDefault="00000000">
      <w:pPr>
        <w:spacing w:after="240"/>
        <w:jc w:val="center"/>
      </w:pPr>
      <w:r>
        <w:rPr>
          <w:b/>
          <w:bCs/>
          <w:sz w:val="28"/>
          <w:szCs w:val="28"/>
        </w:rPr>
        <w:lastRenderedPageBreak/>
        <w:t>LIST OF APPENDICES</w:t>
      </w:r>
    </w:p>
    <w:p w14:paraId="3025A7AB" w14:textId="77777777" w:rsidR="002C1F35" w:rsidRDefault="002C1F35"/>
    <w:p w14:paraId="2F9E14B4" w14:textId="77777777" w:rsidR="002C1F35" w:rsidRDefault="00000000">
      <w:pPr>
        <w:spacing w:before="120" w:after="120" w:line="360" w:lineRule="auto"/>
        <w:jc w:val="both"/>
      </w:pPr>
      <w:r>
        <w:t>Appendix I:    Turnitin Plagiarism Report</w:t>
      </w:r>
    </w:p>
    <w:p w14:paraId="5E8CFF1A" w14:textId="77777777" w:rsidR="002C1F35" w:rsidRDefault="00000000">
      <w:pPr>
        <w:spacing w:before="120" w:after="120" w:line="360" w:lineRule="auto"/>
        <w:jc w:val="both"/>
      </w:pPr>
      <w:r>
        <w:t>Appendix II:   Supervisor's Assessment Form</w:t>
      </w:r>
    </w:p>
    <w:p w14:paraId="62236DBF" w14:textId="77777777" w:rsidR="002C1F35" w:rsidRDefault="00000000">
      <w:pPr>
        <w:spacing w:before="120" w:after="120" w:line="360" w:lineRule="auto"/>
        <w:jc w:val="both"/>
      </w:pPr>
      <w:r>
        <w:t>Appendix III:  Daily Log Book</w:t>
      </w:r>
    </w:p>
    <w:p w14:paraId="04362869" w14:textId="77777777" w:rsidR="002C1F35" w:rsidRDefault="00000000">
      <w:pPr>
        <w:spacing w:before="120" w:after="120" w:line="360" w:lineRule="auto"/>
        <w:jc w:val="both"/>
      </w:pPr>
      <w:r>
        <w:t>Appendix IV:   Sample Python Scripts Developed During Placement</w:t>
      </w:r>
    </w:p>
    <w:p w14:paraId="2CB8E677" w14:textId="77777777" w:rsidR="002C1F35" w:rsidRDefault="00000000">
      <w:pPr>
        <w:spacing w:before="120" w:after="120" w:line="360" w:lineRule="auto"/>
        <w:jc w:val="both"/>
      </w:pPr>
      <w:r>
        <w:t>Appendix V:    Organisational Chart of Claxon Actuaries (Pvt) Ltd</w:t>
      </w:r>
    </w:p>
    <w:p w14:paraId="4C6E1E0C" w14:textId="77777777" w:rsidR="002C1F35" w:rsidRDefault="002C1F35">
      <w:pPr>
        <w:sectPr w:rsidR="002C1F35">
          <w:pgSz w:w="12240" w:h="15840"/>
          <w:pgMar w:top="1440" w:right="1440" w:bottom="1440" w:left="1440" w:header="708" w:footer="708" w:gutter="0"/>
          <w:pgNumType w:fmt="lowerRoman" w:start="1"/>
          <w:cols w:space="720"/>
          <w:docGrid w:linePitch="360"/>
        </w:sectPr>
      </w:pPr>
    </w:p>
    <w:p w14:paraId="3783A2C1" w14:textId="77777777" w:rsidR="002C1F35" w:rsidRDefault="00000000">
      <w:pPr>
        <w:pStyle w:val="Heading1"/>
      </w:pPr>
      <w:r>
        <w:lastRenderedPageBreak/>
        <w:t>CHAPTER 1: INTRODUCTION</w:t>
      </w:r>
    </w:p>
    <w:p w14:paraId="50078B45" w14:textId="77777777" w:rsidR="002C1F35" w:rsidRDefault="00000000">
      <w:pPr>
        <w:pStyle w:val="Heading2"/>
      </w:pPr>
      <w:r>
        <w:t>1.1 Introduction</w:t>
      </w:r>
    </w:p>
    <w:p w14:paraId="4C76C902" w14:textId="77777777" w:rsidR="002C1F35" w:rsidRDefault="00000000">
      <w:pPr>
        <w:spacing w:before="120" w:after="120" w:line="360" w:lineRule="auto"/>
        <w:jc w:val="both"/>
      </w:pPr>
      <w:r>
        <w:t>The Work Related Learning (WRL) programme constitutes an integral component of the Bachelor of Commerce in Data Science and Informatics offered at Midlands State University (MSU). Through the DSI342 module, students are afforded the opportunity to engage with industry practitioners in a structured professional environment, thereby consolidating academic knowledge through hands-on application. This report documents the WRL experience undertaken at Claxon Actuaries (Pvt) Ltd, a specialist actuarial consultancy firm headquartered in Harare, Zimbabwe.</w:t>
      </w:r>
    </w:p>
    <w:p w14:paraId="040A1DA2" w14:textId="77777777" w:rsidR="002C1F35" w:rsidRDefault="00000000">
      <w:pPr>
        <w:spacing w:before="120" w:after="120" w:line="360" w:lineRule="auto"/>
        <w:jc w:val="both"/>
      </w:pPr>
      <w:r>
        <w:t xml:space="preserve">The placement, which spanned the period from August to </w:t>
      </w:r>
      <w:r w:rsidR="00B93540">
        <w:t>July</w:t>
      </w:r>
      <w:r>
        <w:t xml:space="preserve"> 202</w:t>
      </w:r>
      <w:r w:rsidR="00B93540">
        <w:t>6</w:t>
      </w:r>
      <w:r>
        <w:t>, presented a uniquely valuable context for the application of data science principles. The actuarial profession has undergone a significant transformation over the past decade, driven by the convergence of traditional risk modelling with modern computational techniques including machine learning, big data analytics, and artificial intelligence. Claxon Actuaries, as a firm at the forefront of this transformation in the Southern African market, provided an ideal setting within which to explore these intersections in practice.</w:t>
      </w:r>
    </w:p>
    <w:p w14:paraId="131F8368" w14:textId="77777777" w:rsidR="002C1F35" w:rsidRDefault="00000000">
      <w:pPr>
        <w:spacing w:before="120" w:after="120" w:line="360" w:lineRule="auto"/>
        <w:jc w:val="both"/>
      </w:pPr>
      <w:r>
        <w:t>The purpose of this report is to provide a thorough and scholarly account of the placement experience, drawing upon both primary observations made during the attachment period and secondary academic sources. The report is structured in accordance with the DSI342 WRL Report Guidelines and encompasses an examination of the organisation and industry, a reflection on expectations versus reality, an evaluation of personal and professional development, and a series of recommendations directed at both the university and the host company.</w:t>
      </w:r>
    </w:p>
    <w:p w14:paraId="3B00DF0F" w14:textId="77777777" w:rsidR="002C1F35" w:rsidRDefault="00000000">
      <w:pPr>
        <w:pStyle w:val="Heading2"/>
      </w:pPr>
      <w:r>
        <w:t>1.2 Background and History of the Organisation</w:t>
      </w:r>
    </w:p>
    <w:p w14:paraId="2B7A17B8" w14:textId="77777777" w:rsidR="002C1F35" w:rsidRDefault="00000000">
      <w:pPr>
        <w:spacing w:before="120" w:after="120" w:line="360" w:lineRule="auto"/>
        <w:jc w:val="both"/>
      </w:pPr>
      <w:r>
        <w:t xml:space="preserve">Claxon Actuaries (Pvt) Ltd was established in 2019 with the explicit mandate to address the evolving demands of the actuarial services market across Zimbabwe and the broader Southern African Development Community (SADC) region. The company was founded by a group of experienced actuaries who identified a strategic gap in the market for an agile, technology-driven consultancy capable of delivering cutting-edge actuarial modelling solutions. The founding vision was anchored on the recognition that traditional actuarial practice was increasingly insufficient in </w:t>
      </w:r>
      <w:r>
        <w:lastRenderedPageBreak/>
        <w:t>addressing the complexity of contemporary financial risks, and that integration with modern data science and technological innovation was not merely advantageous but necessary.</w:t>
      </w:r>
    </w:p>
    <w:p w14:paraId="05ECBC73" w14:textId="77777777" w:rsidR="002C1F35" w:rsidRDefault="00000000">
      <w:pPr>
        <w:spacing w:before="120" w:after="120" w:line="360" w:lineRule="auto"/>
        <w:jc w:val="both"/>
      </w:pPr>
      <w:r>
        <w:t xml:space="preserve">Despite its relatively recent establishment, Claxon Actuaries has achieved considerable growth and market penetration within a short period. The company operates from its principal office at the 3rd Floor, West-Wing of Club Chambers Building, at the corner of Nelson Mandela Avenue and 3rd Street in Harare. Its strategic positioning within the central business district of Zimbabwe's commercial capital facilitates direct access to both clients and regulatory bodies within the financial services sector. In recognition of its regional growth ambitions, the company has further extended its operational footprint to include a Zambian office located on the Second Floor of La Complex, Plot 4897 Los Angeles Boulevard, </w:t>
      </w:r>
      <w:proofErr w:type="spellStart"/>
      <w:r>
        <w:t>Longacres</w:t>
      </w:r>
      <w:proofErr w:type="spellEnd"/>
      <w:r>
        <w:t>, Lusaka.</w:t>
      </w:r>
    </w:p>
    <w:p w14:paraId="660629A5" w14:textId="77777777" w:rsidR="002C1F35" w:rsidRDefault="00000000">
      <w:pPr>
        <w:spacing w:before="120" w:after="120" w:line="360" w:lineRule="auto"/>
        <w:jc w:val="both"/>
      </w:pPr>
      <w:r>
        <w:t>Claxon Actuaries operates as a wholly-owned subsidiary of Claxon Business Solutions Holdings Limited and maintains a clear distinction from other similarly named international entities. Over the course of its short history, the company has cultivated a reputation as a trusted and innovative partner for corporate clients and financial institutions requiring sophisticated actuarial solutions. Its growth trajectory reflects both the demand for specialised actuarial expertise in the region and the company's capacity to deliver high-quality, technologically enhanced consulting services.</w:t>
      </w:r>
    </w:p>
    <w:p w14:paraId="15787CAE" w14:textId="77777777" w:rsidR="002C1F35" w:rsidRDefault="00000000">
      <w:pPr>
        <w:pStyle w:val="Heading2"/>
      </w:pPr>
      <w:r>
        <w:t>1.3 Organisational Structure and Corporate Culture</w:t>
      </w:r>
    </w:p>
    <w:p w14:paraId="4A53DB9A" w14:textId="77777777" w:rsidR="002C1F35" w:rsidRDefault="00000000">
      <w:pPr>
        <w:spacing w:before="120" w:after="120" w:line="360" w:lineRule="auto"/>
        <w:jc w:val="both"/>
      </w:pPr>
      <w:r>
        <w:t>Claxon Actuaries maintains a lean yet highly functional organisational structure designed to optimise client service delivery while fostering a culture of professional development and continuous learning. The organisation is led by its Directors, who provide strategic oversight and are supported by Senior Actuaries responsible for technical leadership and client relationship management. Beneath this tier are the Actuarial Analysts, Risk Management Specialists, Technology and Analytics professionals, and Business Support Services personnel, all of whom collaborate across functional lines to deliver integrated solutions to clients.</w:t>
      </w:r>
    </w:p>
    <w:p w14:paraId="0E1C8C39" w14:textId="77777777" w:rsidR="002C1F35" w:rsidRDefault="00000000">
      <w:pPr>
        <w:spacing w:before="120" w:after="120" w:line="360" w:lineRule="auto"/>
        <w:jc w:val="both"/>
      </w:pPr>
      <w:r>
        <w:t xml:space="preserve">The corporate culture at Claxon Actuaries is characterised by a strong emphasis on innovation, intellectual rigour, and collaborative problem-solving. The firm operates in an environment that encourages knowledge sharing and cross-disciplinary engagement, reflecting its foundational commitment to bridging actuarial science with data science. This culture was experienced directly during the placement, where members of the technology and analytics team routinely collaborated with actuarial modelling specialists to develop integrated solutions. Such interdisciplinary working </w:t>
      </w:r>
      <w:r>
        <w:lastRenderedPageBreak/>
        <w:t>practices are consistent with the broader industry trend described by Wüthrich and Merz (2023), who observe that modern actuarial work increasingly demands proficiency in both statistical modelling and computational data science.</w:t>
      </w:r>
    </w:p>
    <w:p w14:paraId="783C220C" w14:textId="77777777" w:rsidR="002C1F35" w:rsidRDefault="00000000">
      <w:pPr>
        <w:spacing w:before="120" w:after="120" w:line="360" w:lineRule="auto"/>
        <w:jc w:val="both"/>
      </w:pPr>
      <w:r>
        <w:t>The organisation also demonstrates a commitment to nurturing emerging talent through its internship and graduate recruitment programme, which aligns with the national Skills Development agenda supported by the Ministry of Higher and Tertiary Education in Zimbabwe. Management maintains an open-door policy that facilitates mentorship and creates a psychologically safe environment for interns and junior staff to seek guidance and contribute innovative ideas. This organisational ethos significantly enhanced the quality of the learning experience during the placement.</w:t>
      </w:r>
    </w:p>
    <w:p w14:paraId="35F3212B" w14:textId="77777777" w:rsidR="002C1F35" w:rsidRDefault="00000000">
      <w:r>
        <w:br w:type="page"/>
      </w:r>
    </w:p>
    <w:p w14:paraId="4B4C3D5F" w14:textId="77777777" w:rsidR="002C1F35" w:rsidRDefault="00000000">
      <w:pPr>
        <w:pStyle w:val="Heading1"/>
      </w:pPr>
      <w:r>
        <w:lastRenderedPageBreak/>
        <w:t>CHAPTER 2: NATURE OF INDUSTRY</w:t>
      </w:r>
    </w:p>
    <w:p w14:paraId="46DB3BAE" w14:textId="77777777" w:rsidR="002C1F35" w:rsidRDefault="00000000">
      <w:pPr>
        <w:pStyle w:val="Heading2"/>
      </w:pPr>
      <w:r>
        <w:t>2.1 Nature of Industry and Industry Requirements</w:t>
      </w:r>
    </w:p>
    <w:p w14:paraId="638D57B4" w14:textId="77777777" w:rsidR="002C1F35" w:rsidRDefault="00000000">
      <w:pPr>
        <w:spacing w:before="120" w:after="120" w:line="360" w:lineRule="auto"/>
        <w:jc w:val="both"/>
      </w:pPr>
      <w:r>
        <w:t>The actuarial and financial services consulting industry occupies a critical position within the broader financial services sector, providing quantitative expertise that underpins the pricing, reserving, and risk management functions of insurance companies, pension funds, and other financial institutions. In Zimbabwe, the industry is governed and regulated by the Insurance and Pensions Commission (IPC), which sets the statutory and prudential requirements within which insurance companies and their actuarial advisors must operate (Insurance and Pensions Commission of Zimbabwe, 2024).</w:t>
      </w:r>
    </w:p>
    <w:p w14:paraId="406A77E5" w14:textId="77777777" w:rsidR="002C1F35" w:rsidRDefault="00000000">
      <w:pPr>
        <w:spacing w:before="120" w:after="120" w:line="360" w:lineRule="auto"/>
        <w:jc w:val="both"/>
      </w:pPr>
      <w:r>
        <w:t>The industry has experienced considerable disruption and transformation in recent years, driven primarily by three interconnected forces: regulatory change, technological advancement, and shifting risk landscapes. The mandatory adoption of the International Financial Reporting Standard 17 (IFRS 17), which replaces the longstanding IFRS 4 standard for insurance contracts, represents the most significant regulatory development affecting the industry in decades. The implementation of IFRS 17 requires insurance companies to adopt fundamentally different approaches to the measurement and disclosure of insurance liabilities, demanding new data architectures, modelling capabilities, and reporting processes (PricewaterhouseCoopers, 2024).</w:t>
      </w:r>
    </w:p>
    <w:p w14:paraId="4F866E6C" w14:textId="77777777" w:rsidR="002C1F35" w:rsidRDefault="00000000">
      <w:pPr>
        <w:spacing w:before="120" w:after="120" w:line="360" w:lineRule="auto"/>
        <w:jc w:val="both"/>
      </w:pPr>
      <w:r>
        <w:t xml:space="preserve">Concurrently, the industry is undergoing a paradigm shift in its use of data and analytics. Traditional actuarial models, which relied primarily on aggregated historical data and deterministic assumptions, are increasingly being supplemented or replaced by machine learning models capable of processing granular, real-time data to produce more accurate and dynamic risk assessments. Hastie, </w:t>
      </w:r>
      <w:proofErr w:type="spellStart"/>
      <w:r>
        <w:t>Tibshirani</w:t>
      </w:r>
      <w:proofErr w:type="spellEnd"/>
      <w:r>
        <w:t>, and Friedman (2023) note that statistical learning methods have fundamentally expanded the toolkit available to quantitative professionals, enabling more nuanced modelling of complex non-linear relationships in claims data. These developments demand that actuarial professionals possess not only deep technical knowledge of insurance mathematics but also competency in programming languages such as R and Python, database management, and data visualisation.</w:t>
      </w:r>
    </w:p>
    <w:p w14:paraId="73470417" w14:textId="77777777" w:rsidR="002C1F35" w:rsidRDefault="00000000">
      <w:pPr>
        <w:spacing w:before="120" w:after="120" w:line="360" w:lineRule="auto"/>
        <w:jc w:val="both"/>
      </w:pPr>
      <w:r>
        <w:t xml:space="preserve">The Reserve Bank of Zimbabwe (2023) has also emphasised the importance of robust risk management frameworks within the financial services sector, highlighting increasing systemic risks arising from macroeconomic volatility, climate-related exposures, and cyber threats. These </w:t>
      </w:r>
      <w:r>
        <w:lastRenderedPageBreak/>
        <w:t>regulatory and macroeconomic imperatives have elevated the demand for actuarial consulting services and created significant opportunities for firms such as Claxon Actuaries to deliver specialised, high-value advisory services.</w:t>
      </w:r>
    </w:p>
    <w:p w14:paraId="0674E4EA" w14:textId="77777777" w:rsidR="002C1F35" w:rsidRDefault="00000000">
      <w:pPr>
        <w:pStyle w:val="Heading2"/>
      </w:pPr>
      <w:r>
        <w:t>2.2 Products and Service Markets</w:t>
      </w:r>
    </w:p>
    <w:p w14:paraId="4D7E908A" w14:textId="77777777" w:rsidR="002C1F35" w:rsidRDefault="00000000">
      <w:pPr>
        <w:spacing w:before="120" w:after="120" w:line="360" w:lineRule="auto"/>
        <w:jc w:val="both"/>
      </w:pPr>
      <w:r>
        <w:t>Claxon Actuaries serves a diverse client base spanning multiple financial and quasi-financial sectors, including life insurance, short-term (general) insurance, pension fund administration, healthcare financing, and banking. The company's service portfolio is structured around four core offerings: actuarial modelling, risk management consulting, technology and analytics solutions, and regulatory compliance advisory.</w:t>
      </w:r>
    </w:p>
    <w:p w14:paraId="0B7BEC6E" w14:textId="77777777" w:rsidR="002C1F35" w:rsidRDefault="00000000">
      <w:pPr>
        <w:spacing w:before="120" w:after="120" w:line="360" w:lineRule="auto"/>
        <w:jc w:val="both"/>
      </w:pPr>
      <w:r>
        <w:t>Within the actuarial modelling domain, the firm provides life insurance valuation services, general insurance pricing analyses, pension scheme actuarial valuations, and regulatory capital modelling in accordance with the Risk-Based Capital (RBC) framework prescribed by the Financial Services Commission. These services are delivered to a clientele comprising both large established insurance groups and smaller emerging market operators, each presenting distinct modelling challenges and data quality considerations.</w:t>
      </w:r>
    </w:p>
    <w:p w14:paraId="2C29F9D3" w14:textId="77777777" w:rsidR="002C1F35" w:rsidRDefault="00000000">
      <w:pPr>
        <w:spacing w:before="120" w:after="120" w:line="360" w:lineRule="auto"/>
        <w:jc w:val="both"/>
      </w:pPr>
      <w:r>
        <w:t>The technology and analytics service line, which represents the primary area of engagement during the WRL placement, encompasses the development of custom data analytics platforms, the implementation of machine learning algorithms for predictive modelling, the design of business intelligence dashboards, and the creation of automated data processing pipelines. McKinsey and Company (2024) identify digital transformation in insurance as one of the most consequential strategic imperatives facing African insurance markets, noting that firms that successfully integrate advanced analytics into their core operations achieve demonstrably superior outcomes in claims management, customer retention, and pricing accuracy. Claxon Actuaries' positioning in this market segment therefore places it at the intersection of two high-growth sectors: actuarial science and data-driven decision-making.</w:t>
      </w:r>
    </w:p>
    <w:p w14:paraId="6161E087" w14:textId="77777777" w:rsidR="002C1F35" w:rsidRDefault="00000000">
      <w:pPr>
        <w:spacing w:before="120" w:after="120" w:line="360" w:lineRule="auto"/>
        <w:jc w:val="both"/>
      </w:pPr>
      <w:r>
        <w:t>The regulatory compliance advisory service, including IFRS 17 implementation support, constitutes a growing and increasingly critical component of the company's offering. As the implementation deadline for IFRS 17 in Zimbabwe has passed, insurance companies are now focused on embedding compliant processes and systems, generating sustained demand for specialist advisory support in data transformation, model governance, and disclosure preparation.</w:t>
      </w:r>
    </w:p>
    <w:p w14:paraId="02EF82D3" w14:textId="77777777" w:rsidR="002C1F35" w:rsidRDefault="00000000">
      <w:pPr>
        <w:pStyle w:val="Heading2"/>
      </w:pPr>
      <w:r>
        <w:lastRenderedPageBreak/>
        <w:t>2.3 Company and Society Connection</w:t>
      </w:r>
    </w:p>
    <w:p w14:paraId="397A7BB8" w14:textId="77777777" w:rsidR="002C1F35" w:rsidRDefault="00000000">
      <w:pPr>
        <w:spacing w:before="120" w:after="120" w:line="360" w:lineRule="auto"/>
        <w:jc w:val="both"/>
      </w:pPr>
      <w:r>
        <w:t>Claxon Actuaries' contribution to Zimbabwean society extends beyond the provision of technical consulting services to encompass several dimensions of social and economic value creation. At the most direct level, the firm strengthens the financial services sector's capacity to manage risk effectively, thereby contributing to the stability and resilience of institutions that protect the financial wellbeing of millions of Zimbabwean policyholders and pension beneficiaries. The quality of actuarial work performed by firms such as Claxon Actuaries has direct implications for the solvency and sustainability of the insurance companies they advise, and by extension, for the security of the individuals and businesses these companies insure.</w:t>
      </w:r>
    </w:p>
    <w:p w14:paraId="2AE91BFD" w14:textId="77777777" w:rsidR="002C1F35" w:rsidRDefault="00000000">
      <w:pPr>
        <w:spacing w:before="120" w:after="120" w:line="360" w:lineRule="auto"/>
        <w:jc w:val="both"/>
      </w:pPr>
      <w:r>
        <w:t>The company also contributes to the development of local actuarial capacity, a significant strategic priority in Zimbabwe and across the SADC region more broadly, where the number of qualified actuaries relative to the size of the financial services sector has historically been insufficient to meet demand. By hosting interns and graduate trainees, Claxon Actuaries actively participates in the pipeline of actuarial and data science talent development, complementing the theoretical training provided by universities with practical, applied experience. The Zimbabwe Insurance Industry Association (2024) has identified capacity development as a key strategic priority for the sector, underscoring the societal importance of such initiatives.</w:t>
      </w:r>
    </w:p>
    <w:p w14:paraId="4BE370BB" w14:textId="77777777" w:rsidR="002C1F35" w:rsidRDefault="00000000">
      <w:pPr>
        <w:spacing w:before="120" w:after="120" w:line="360" w:lineRule="auto"/>
        <w:jc w:val="both"/>
      </w:pPr>
      <w:r>
        <w:t>Furthermore, the firm's work in IFRS 17 implementation and regulatory compliance supports the broader objective of improving financial reporting transparency within the Zimbabwean insurance market, which in turn enhances investor confidence, facilitates access to international capital markets, and contributes to macroeconomic stability. These systemic benefits, whilst less visible than direct service delivery, represent a significant and underappreciated dimension of Claxon Actuaries' social impact.</w:t>
      </w:r>
    </w:p>
    <w:p w14:paraId="6F689C22" w14:textId="77777777" w:rsidR="002C1F35" w:rsidRDefault="00000000">
      <w:r>
        <w:br w:type="page"/>
      </w:r>
    </w:p>
    <w:p w14:paraId="1B3ABB44" w14:textId="77777777" w:rsidR="002C1F35" w:rsidRDefault="00000000">
      <w:pPr>
        <w:pStyle w:val="Heading1"/>
      </w:pPr>
      <w:r>
        <w:lastRenderedPageBreak/>
        <w:t>CHAPTER 3: EXPECTATIONS VS REALITY</w:t>
      </w:r>
    </w:p>
    <w:p w14:paraId="372EDD5F" w14:textId="77777777" w:rsidR="002C1F35" w:rsidRDefault="00000000">
      <w:pPr>
        <w:pStyle w:val="Heading2"/>
      </w:pPr>
      <w:r>
        <w:t>3.1 Expectations vs Reality</w:t>
      </w:r>
    </w:p>
    <w:p w14:paraId="1BEF4BCC" w14:textId="77777777" w:rsidR="002C1F35" w:rsidRDefault="00000000">
      <w:pPr>
        <w:spacing w:before="120" w:after="120" w:line="360" w:lineRule="auto"/>
        <w:jc w:val="both"/>
      </w:pPr>
      <w:r>
        <w:t>Prior to commencing the WRL placement at Claxon Actuaries, a number of expectations were formed based on prior academic learning, industry literature, and preliminary conversations with the host organisation. The primary expectation was that the placement would involve the direct application of statistical and machine learning techniques to structured datasets in a relatively straightforward manner. It was anticipated that data would be largely clean and well-organised, and that the primary challenges would be methodological rather than data-related. These expectations were only partially borne out in practice.</w:t>
      </w:r>
    </w:p>
    <w:p w14:paraId="463B931F" w14:textId="77777777" w:rsidR="002C1F35" w:rsidRDefault="00000000">
      <w:pPr>
        <w:spacing w:before="120" w:after="120" w:line="360" w:lineRule="auto"/>
        <w:jc w:val="both"/>
      </w:pPr>
      <w:r>
        <w:t xml:space="preserve">In reality, a significant proportion of the initial placement period was dedicated to data preparation and quality assurance tasks. Upon commencing analysis of the historical insurance claims dataset, it was discovered that approximately 15% of records required extensive remediation due to issues including missing values, inconsistent field formatting, duplicate entries, and records with implausible attribute combinations. This experience closely reflects the observations of Tan et al. (2024), who note that data </w:t>
      </w:r>
      <w:proofErr w:type="spellStart"/>
      <w:r>
        <w:t>preprocessing</w:t>
      </w:r>
      <w:proofErr w:type="spellEnd"/>
      <w:r>
        <w:t xml:space="preserve"> typically accounts for between 60% and 80% of the time invested in a data science project and constitutes one of the most technically demanding phases of the analytical workflow.</w:t>
      </w:r>
    </w:p>
    <w:p w14:paraId="7687E712" w14:textId="77777777" w:rsidR="002C1F35" w:rsidRDefault="00000000">
      <w:pPr>
        <w:spacing w:before="120" w:after="120" w:line="360" w:lineRule="auto"/>
        <w:jc w:val="both"/>
      </w:pPr>
      <w:r>
        <w:t>A further unexpected reality was the complexity of the regulatory and institutional context within which the modelling work was situated. Whilst the DSI342 curriculum provides exposure to statistical modelling and data management, the depth of domain knowledge required to understand the practical implications of modelling assumptions within an insurance context – including the impact of reserving methodology choices on solvency ratios and the constraints imposed by IFRS 17 disclosure requirements – exceeded initial expectations. This highlighted a potential gap between the generalist data science training provided at university level and the specialised domain knowledge required in specific industry verticals.</w:t>
      </w:r>
    </w:p>
    <w:p w14:paraId="56B8A36F" w14:textId="77777777" w:rsidR="002C1F35" w:rsidRDefault="00000000">
      <w:pPr>
        <w:spacing w:before="120" w:after="120" w:line="360" w:lineRule="auto"/>
        <w:jc w:val="both"/>
      </w:pPr>
      <w:r>
        <w:t xml:space="preserve">On a more positive note, the breadth and calibre of the technical tools deployed at Claxon Actuaries exceeded expectations. The organisation's technology stack, which includes Python, R, SQL, Tableau, and a range of specialised actuarial software, provided exposure to a rich and contemporary set of analytical instruments. Furthermore, the collegial and mentorship-oriented culture of the organisation made the learning curve more navigable than might otherwise have </w:t>
      </w:r>
      <w:r>
        <w:lastRenderedPageBreak/>
        <w:t>been the case, with senior staff consistently willing to explain technical concepts and contextualise modelling decisions within the broader business and regulatory framework.</w:t>
      </w:r>
    </w:p>
    <w:p w14:paraId="0462C9F2" w14:textId="77777777" w:rsidR="002C1F35" w:rsidRDefault="00000000">
      <w:pPr>
        <w:pStyle w:val="Heading2"/>
      </w:pPr>
      <w:r>
        <w:t>3.2 WRL Assignments and Relevance to the Degree Programme</w:t>
      </w:r>
    </w:p>
    <w:p w14:paraId="5CE9FC9D" w14:textId="77777777" w:rsidR="002C1F35" w:rsidRDefault="00000000">
      <w:pPr>
        <w:spacing w:before="120" w:after="120" w:line="360" w:lineRule="auto"/>
        <w:jc w:val="both"/>
      </w:pPr>
      <w:r>
        <w:t>The assignments undertaken during the placement demonstrate strong alignment with the core technical competencies developed through the Data Science and Informatics degree programme. Across the six phases of the work plan, tasks engaged with foundational skills in data engineering, statistical modelling, machine learning, and data visualisation that correspond directly to modules including Data Mining, Statistical Methods, Database Systems, and Business Intelligence.</w:t>
      </w:r>
    </w:p>
    <w:p w14:paraId="178CF99D" w14:textId="77777777" w:rsidR="002C1F35" w:rsidRDefault="00000000">
      <w:pPr>
        <w:spacing w:before="120" w:after="120" w:line="360" w:lineRule="auto"/>
        <w:jc w:val="both"/>
      </w:pPr>
      <w:r>
        <w:t>The development of a customer segmentation model using K-means clustering engaged directly with unsupervised learning concepts covered in the Data Mining curriculum, and provided an opportunity to implement these techniques on real-world data characterised by the complexity and imperfection that is typically absent from the curated datasets used in academic exercises. Similarly, the construction of a claims prediction model using Random Forest algorithms reinforced supervised learning principles while introducing practical considerations around model interpretability, overfitting, and performance evaluation in a business context (James et al., 2023).</w:t>
      </w:r>
    </w:p>
    <w:p w14:paraId="1650C910" w14:textId="77777777" w:rsidR="002C1F35" w:rsidRDefault="00000000">
      <w:pPr>
        <w:spacing w:before="120" w:after="120" w:line="360" w:lineRule="auto"/>
        <w:jc w:val="both"/>
      </w:pPr>
      <w:r>
        <w:t>The fraud detection work, which employed anomaly detection methodologies, extended beyond the immediate scope of the degree curriculum into more specialised territory, providing valuable exposure to a highly relevant application domain. Anderson and Mitchell (2024) identify fraud detection as one of the fastest-growing application areas for machine learning in the insurance sector, noting that algorithmic approaches consistently outperform traditional rule-based systems in both detection accuracy and operational efficiency. The practical engagement with this problem domain during the placement therefore represents a meaningful enrichment of the academic training received.</w:t>
      </w:r>
    </w:p>
    <w:p w14:paraId="343E3A2A" w14:textId="77777777" w:rsidR="002C1F35" w:rsidRDefault="00000000">
      <w:pPr>
        <w:spacing w:before="120" w:after="120" w:line="360" w:lineRule="auto"/>
        <w:jc w:val="both"/>
      </w:pPr>
      <w:r>
        <w:t>The process automation work, particularly the development of Python scripts for data validation and monthly risk reporting, engaged with software engineering principles and reinforced the practical value of programming competencies that are sometimes underemphasised in data science curricula relative to statistical and modelling skills. The experience confirmed that data science professionals in industry are routinely required to develop production-quality code, not merely exploratory analytical scripts, a distinction that has implications for the design of the degree programme.</w:t>
      </w:r>
    </w:p>
    <w:p w14:paraId="524A1E72" w14:textId="77777777" w:rsidR="002C1F35" w:rsidRDefault="00000000">
      <w:r>
        <w:lastRenderedPageBreak/>
        <w:br w:type="page"/>
      </w:r>
    </w:p>
    <w:p w14:paraId="007ED64E" w14:textId="77777777" w:rsidR="002C1F35" w:rsidRDefault="00000000">
      <w:pPr>
        <w:pStyle w:val="Heading1"/>
      </w:pPr>
      <w:r>
        <w:lastRenderedPageBreak/>
        <w:t>CHAPTER 4: PERSONAL AND PROFESSIONAL DEVELOPMENT</w:t>
      </w:r>
    </w:p>
    <w:p w14:paraId="1CF02E7A" w14:textId="77777777" w:rsidR="002C1F35" w:rsidRDefault="00000000">
      <w:pPr>
        <w:pStyle w:val="Heading2"/>
      </w:pPr>
      <w:r>
        <w:t>4.1 Key Skills Developed</w:t>
      </w:r>
    </w:p>
    <w:p w14:paraId="4533C461" w14:textId="77777777" w:rsidR="002C1F35" w:rsidRDefault="00000000">
      <w:pPr>
        <w:spacing w:before="120" w:after="120" w:line="360" w:lineRule="auto"/>
        <w:jc w:val="both"/>
      </w:pPr>
      <w:r>
        <w:t>The WRL placement at Claxon Actuaries catalysed the development of a broad range of technical and professional skills, several of which either extended beyond or deepened the competencies acquired through formal academic study.</w:t>
      </w:r>
    </w:p>
    <w:p w14:paraId="6E019C35" w14:textId="77777777" w:rsidR="002C1F35" w:rsidRDefault="00000000">
      <w:pPr>
        <w:spacing w:before="120" w:after="120" w:line="360" w:lineRule="auto"/>
        <w:jc w:val="both"/>
      </w:pPr>
      <w:r>
        <w:t>In the technical domain, proficiency in Python for data engineering and machine learning was substantially enhanced through the development of production-quality data pipelines, model training workflows, and automated reporting systems. Prior academic experience with Python was primarily in the context of exploratory data analysis and model prototyping; the placement demanded a more disciplined and systematic approach to code development, including version control practices, error handling, and documentation. Competency in SQL was similarly advanced through extensive work with relational databases containing large insurance datasets, requiring the development of complex multi-table queries, stored procedures, and performance optimisation techniques.</w:t>
      </w:r>
    </w:p>
    <w:p w14:paraId="4ED2930A" w14:textId="77777777" w:rsidR="002C1F35" w:rsidRDefault="00000000">
      <w:pPr>
        <w:spacing w:before="120" w:after="120" w:line="360" w:lineRule="auto"/>
        <w:jc w:val="both"/>
      </w:pPr>
      <w:r>
        <w:t>A particularly notable area of skill development was in data visualisation and dashboard development using Tableau. The construction of an interactive risk assessment dashboard for management use required not only technical proficiency with the tool but also an appreciation of information design principles and the communication needs of non-technical stakeholders. Kaas et al. (2024) observe that the ability to communicate complex quantitative findings to non-specialist audiences is increasingly identified by employers as a critical and often underdeveloped competency among data science graduates, a gap that the dashboard development work directly addressed.</w:t>
      </w:r>
    </w:p>
    <w:p w14:paraId="7F5FD526" w14:textId="77777777" w:rsidR="002C1F35" w:rsidRDefault="00000000">
      <w:pPr>
        <w:spacing w:before="120" w:after="120" w:line="360" w:lineRule="auto"/>
        <w:jc w:val="both"/>
      </w:pPr>
      <w:r>
        <w:t>At the professional level, the placement contributed significantly to the development of project management skills, including the ability to manage multiple concurrent work streams, meet deadlines under conditions of uncertainty, and communicate progress effectively to supervisors and colleagues. The experience of working within a client-facing consultancy environment also cultivated an awareness of professional conduct standards, confidentiality obligations, and the importance of quality assurance in technical outputs that will have direct implications for client outcomes.</w:t>
      </w:r>
    </w:p>
    <w:p w14:paraId="1A810FF0" w14:textId="77777777" w:rsidR="002C1F35" w:rsidRDefault="00000000">
      <w:pPr>
        <w:pStyle w:val="Heading2"/>
      </w:pPr>
      <w:r>
        <w:lastRenderedPageBreak/>
        <w:t>4.2 Personal Development</w:t>
      </w:r>
    </w:p>
    <w:p w14:paraId="644D2AD9" w14:textId="77777777" w:rsidR="002C1F35" w:rsidRDefault="00000000">
      <w:pPr>
        <w:spacing w:before="120" w:after="120" w:line="360" w:lineRule="auto"/>
        <w:jc w:val="both"/>
      </w:pPr>
      <w:r>
        <w:t>Beyond technical and professional skill acquisition, the WRL placement at Claxon Actuaries contributed to personal development across several dimensions, including intellectual maturity, professional identity formation, and resilience in the face of complex challenges.</w:t>
      </w:r>
    </w:p>
    <w:p w14:paraId="7F71BDAA" w14:textId="77777777" w:rsidR="002C1F35" w:rsidRDefault="00000000">
      <w:pPr>
        <w:spacing w:before="120" w:after="120" w:line="360" w:lineRule="auto"/>
        <w:jc w:val="both"/>
      </w:pPr>
      <w:r>
        <w:t>One of the most significant dimensions of personal growth during the placement was the development of intellectual humility – the recognition that academic credentials and theoretical knowledge, whilst valuable, represent only the starting point of a much longer journey of professional learning. Encountering the limits of prior knowledge in a real-world setting, particularly in relation to actuarial domain expertise and the practical constraints of production data systems, fostered a more mature and realistic orientation towards learning and professional development. This experience aligns with the findings of experiential learning theory as elaborated by Kolb (1984), which emphasises the transformative potential of reflective engagement with concrete experience.</w:t>
      </w:r>
    </w:p>
    <w:p w14:paraId="4986261B" w14:textId="77777777" w:rsidR="002C1F35" w:rsidRDefault="00000000">
      <w:pPr>
        <w:spacing w:before="120" w:after="120" w:line="360" w:lineRule="auto"/>
        <w:jc w:val="both"/>
      </w:pPr>
      <w:r>
        <w:t>The placement also contributed to the development of a clearer sense of professional identity and career direction. Through sustained engagement with the work of actuarial and data science professionals, a more concrete understanding was gained of the distinct career pathways available at the intersection of these disciplines, including roles in insurance analytics, risk modelling, quantitative research, and technology consulting. This clarification of career aspirations will inform subsequent academic choices, including the selection of final-year electives and the focus of the research dissertation.</w:t>
      </w:r>
    </w:p>
    <w:p w14:paraId="3A70C3AF" w14:textId="77777777" w:rsidR="002C1F35" w:rsidRDefault="00000000">
      <w:pPr>
        <w:spacing w:before="120" w:after="120" w:line="360" w:lineRule="auto"/>
        <w:jc w:val="both"/>
      </w:pPr>
      <w:r>
        <w:t>On an interpersonal level, the placement environment, characterised by a diverse team of professionals with varied technical backgrounds and seniority levels, provided valuable practice in professional communication, active listening, and collaborative problem-solving. The ability to work effectively within a professional team, to seek guidance without undermining the confidence of supervisors, and to contribute constructively to group discussions are competencies that cannot be fully developed in an academic setting alone.</w:t>
      </w:r>
    </w:p>
    <w:p w14:paraId="130FDD4E" w14:textId="77777777" w:rsidR="002C1F35" w:rsidRDefault="00000000">
      <w:pPr>
        <w:pStyle w:val="Heading2"/>
      </w:pPr>
      <w:r>
        <w:t>4.3 Handling Conflict Between Personal and Organisational Objectives</w:t>
      </w:r>
    </w:p>
    <w:p w14:paraId="62A9ACCF" w14:textId="77777777" w:rsidR="002C1F35" w:rsidRDefault="00000000">
      <w:pPr>
        <w:spacing w:before="120" w:after="120" w:line="360" w:lineRule="auto"/>
        <w:jc w:val="both"/>
      </w:pPr>
      <w:r>
        <w:t xml:space="preserve">The management of tensions between personal learning objectives and organisational operational requirements is an inherent feature of the WRL experience and one that necessitates careful and </w:t>
      </w:r>
      <w:r>
        <w:lastRenderedPageBreak/>
        <w:t>ongoing navigation. During the placement at Claxon Actuaries, several instances arose in which this tension required deliberate management.</w:t>
      </w:r>
    </w:p>
    <w:p w14:paraId="2257793D" w14:textId="77777777" w:rsidR="002C1F35" w:rsidRDefault="00000000">
      <w:pPr>
        <w:spacing w:before="120" w:after="120" w:line="360" w:lineRule="auto"/>
        <w:jc w:val="both"/>
      </w:pPr>
      <w:r>
        <w:t>The most notable of these tensions concerned the allocation of time between exploratory learning activities – such as studying the theoretical foundations of actuarial models or experimenting with alternative machine learning approaches – and the delivery of specific project outputs against defined timelines. The organisational context, as a professional services firm serving paying clients, necessarily prioritises the reliable and timely delivery of work products over individual learning exploration. In practice, this meant that certain opportunities for deeper technical investigation had to be deferred in favour of meeting operational commitments.</w:t>
      </w:r>
    </w:p>
    <w:p w14:paraId="10D2CC31" w14:textId="77777777" w:rsidR="002C1F35" w:rsidRDefault="00000000">
      <w:pPr>
        <w:spacing w:before="120" w:after="120" w:line="360" w:lineRule="auto"/>
        <w:jc w:val="both"/>
      </w:pPr>
      <w:r>
        <w:t>This tension was managed through transparent communication with supervisors regarding learning objectives and by seeking to identify opportunities where personal development interests could be aligned with organisational requirements. For instance, the interest in natural language processing (NLP) techniques was channelled into a proposal for an insurance document analysis tool that offered demonstrable business value, thereby enabling exploration of a technically interesting domain whilst simultaneously contributing to organisational objectives. This experience reinforced the importance of framing personal development interests in terms of their potential value to the organisation – a transferable professional skill of considerable importance in any workplace context.</w:t>
      </w:r>
    </w:p>
    <w:p w14:paraId="01F01BAB" w14:textId="77777777" w:rsidR="002C1F35" w:rsidRDefault="00000000">
      <w:pPr>
        <w:spacing w:before="120" w:after="120" w:line="360" w:lineRule="auto"/>
        <w:jc w:val="both"/>
      </w:pPr>
      <w:r>
        <w:t>A secondary source of tension arose from observations about certain inefficient processes within the organisation that were maintained as a result of institutional inertia rather than technical necessity. The professional context required that these observations be communicated constructively and through appropriate channels rather than unilaterally, demonstrating the importance of organisational awareness and professional judgment in navigating the interface between individual agency and institutional culture.</w:t>
      </w:r>
    </w:p>
    <w:p w14:paraId="73621482" w14:textId="77777777" w:rsidR="002C1F35" w:rsidRDefault="00000000">
      <w:r>
        <w:br w:type="page"/>
      </w:r>
    </w:p>
    <w:p w14:paraId="14B9B193" w14:textId="77777777" w:rsidR="002C1F35" w:rsidRDefault="00000000">
      <w:pPr>
        <w:pStyle w:val="Heading1"/>
      </w:pPr>
      <w:r>
        <w:lastRenderedPageBreak/>
        <w:t>CHAPTER 5: CONCLUSION</w:t>
      </w:r>
    </w:p>
    <w:p w14:paraId="32DDFFA3" w14:textId="77777777" w:rsidR="002C1F35" w:rsidRDefault="00000000">
      <w:pPr>
        <w:pStyle w:val="Heading2"/>
      </w:pPr>
      <w:r>
        <w:t>5.1 Re-Entry into the University</w:t>
      </w:r>
    </w:p>
    <w:p w14:paraId="09A4E2A4" w14:textId="77777777" w:rsidR="002C1F35" w:rsidRDefault="00000000">
      <w:pPr>
        <w:spacing w:before="120" w:after="120" w:line="360" w:lineRule="auto"/>
        <w:jc w:val="both"/>
      </w:pPr>
      <w:r>
        <w:t>The re-entry into the university environment following the completion of the WRL placement at Claxon Actuaries is anticipated to be informed by a substantially enriched perspective on the practical application of academic knowledge. The experience has fundamentally altered the orientation towards subsequent academic study, from a primary focus on theoretical mastery to a more integrative focus on the contextualised application of theory to real-world problems of consequence.</w:t>
      </w:r>
    </w:p>
    <w:p w14:paraId="15975990" w14:textId="77777777" w:rsidR="002C1F35" w:rsidRDefault="00000000">
      <w:pPr>
        <w:spacing w:before="120" w:after="120" w:line="360" w:lineRule="auto"/>
        <w:jc w:val="both"/>
      </w:pPr>
      <w:r>
        <w:t>Specific academic modules are now anticipated to be approached with greater depth of appreciation as a result of the placement experience. Courses in machine learning, statistical modelling, database systems, and business intelligence will benefit from the contextual understanding gained through their practical application in the actuarial domain. The challenges encountered in practice – including data quality issues, computational resource constraints, model interpretability demands, and regulatory compliance requirements – will serve as productive lenses through which to engage more critically with academic content.</w:t>
      </w:r>
    </w:p>
    <w:p w14:paraId="6A53B4B0" w14:textId="77777777" w:rsidR="002C1F35" w:rsidRDefault="00000000">
      <w:pPr>
        <w:spacing w:before="120" w:after="120" w:line="360" w:lineRule="auto"/>
        <w:jc w:val="both"/>
      </w:pPr>
      <w:r>
        <w:t>The placement has also identified specific areas in which additional academic development would be beneficial, including a deeper grounding in insurance mathematics and actuarial modelling principles, advanced techniques in time series analysis and survival modelling, and further development of software engineering competencies relevant to the deployment of production data science systems. These identified gaps will inform the selection of elective modules and independent study activities in the final year of the degree programme.</w:t>
      </w:r>
    </w:p>
    <w:p w14:paraId="2847B9CD" w14:textId="77777777" w:rsidR="002C1F35" w:rsidRDefault="00000000">
      <w:pPr>
        <w:pStyle w:val="Heading2"/>
      </w:pPr>
      <w:r>
        <w:t>5.2 Recommendations to the University</w:t>
      </w:r>
    </w:p>
    <w:p w14:paraId="62AFBC98" w14:textId="77777777" w:rsidR="002C1F35" w:rsidRDefault="00000000">
      <w:pPr>
        <w:spacing w:before="120" w:after="120" w:line="360" w:lineRule="auto"/>
        <w:jc w:val="both"/>
      </w:pPr>
      <w:r>
        <w:t>Based on the placement experience at Claxon Actuaries, several recommendations are directed to Midlands State University with the aim of enhancing the quality and industry relevance of the Data Science and Informatics programme.</w:t>
      </w:r>
    </w:p>
    <w:p w14:paraId="0AE30C3B" w14:textId="77777777" w:rsidR="002C1F35" w:rsidRDefault="00000000">
      <w:pPr>
        <w:spacing w:before="120" w:after="120" w:line="360" w:lineRule="auto"/>
        <w:jc w:val="both"/>
      </w:pPr>
      <w:r>
        <w:t xml:space="preserve">First, it is recommended that the curriculum incorporate more substantial engagement with data quality and data governance as a standalone topic of study. The experience during the placement demonstrated that data preparation and quality assurance activities account for a disproportionate share of the practical data scientist's working time, yet these topics receive comparatively limited </w:t>
      </w:r>
      <w:r>
        <w:lastRenderedPageBreak/>
        <w:t>attention in academic training relative to modelling and analysis. A dedicated module or significant module component addressing data quality frameworks, data governance principles, and practical remediation techniques would substantially better prepare students for industry realities.</w:t>
      </w:r>
    </w:p>
    <w:p w14:paraId="4358F452" w14:textId="77777777" w:rsidR="002C1F35" w:rsidRDefault="00000000">
      <w:pPr>
        <w:spacing w:before="120" w:after="120" w:line="360" w:lineRule="auto"/>
        <w:jc w:val="both"/>
      </w:pPr>
      <w:r>
        <w:t>Second, it is recommended that the university strengthen its partnerships with industry organisations to facilitate the earlier introduction of applied, industry-contextualised projects into the curriculum. Capstone projects conducted in collaboration with financial services firms would enable students to develop domain knowledge alongside technical skills and would reduce the steep learning curve encountered during the initial weeks of WRL placements.</w:t>
      </w:r>
    </w:p>
    <w:p w14:paraId="46A1D32B" w14:textId="77777777" w:rsidR="002C1F35" w:rsidRDefault="00000000">
      <w:pPr>
        <w:spacing w:before="120" w:after="120" w:line="360" w:lineRule="auto"/>
        <w:jc w:val="both"/>
      </w:pPr>
      <w:r>
        <w:t>Third, consideration should be given to introducing introductory content on regulatory frameworks relevant to key industries in which data science professionals are employed, including insurance regulation, banking regulation, and data protection legislation. Such content would equip graduates to engage more effectively and responsibly with the institutional contexts in which their technical work is situated.</w:t>
      </w:r>
    </w:p>
    <w:p w14:paraId="492EE93E" w14:textId="77777777" w:rsidR="002C1F35" w:rsidRDefault="00000000">
      <w:pPr>
        <w:spacing w:before="120" w:after="120" w:line="360" w:lineRule="auto"/>
        <w:jc w:val="both"/>
      </w:pPr>
      <w:r>
        <w:t>Fourth, the university should consider expanding the pre-placement preparation programme to include structured guidance on professional conduct in consulting environments, project management fundamentals, and effective written and oral communication of technical findings to non-specialist audiences.</w:t>
      </w:r>
    </w:p>
    <w:p w14:paraId="27B6DA73" w14:textId="77777777" w:rsidR="002C1F35" w:rsidRDefault="00000000">
      <w:pPr>
        <w:pStyle w:val="Heading2"/>
      </w:pPr>
      <w:r>
        <w:t>5.3 Recommendations to the Company</w:t>
      </w:r>
    </w:p>
    <w:p w14:paraId="2CE728F9" w14:textId="77777777" w:rsidR="002C1F35" w:rsidRDefault="00000000">
      <w:pPr>
        <w:spacing w:before="120" w:after="120" w:line="360" w:lineRule="auto"/>
        <w:jc w:val="both"/>
      </w:pPr>
      <w:r>
        <w:t>Several recommendations are directed to Claxon Actuaries with the objective of enhancing the quality of the internship programme and the operational efficiency of the organisation.</w:t>
      </w:r>
    </w:p>
    <w:p w14:paraId="3B1B9EF7" w14:textId="77777777" w:rsidR="002C1F35" w:rsidRDefault="00000000">
      <w:pPr>
        <w:spacing w:before="120" w:after="120" w:line="360" w:lineRule="auto"/>
        <w:jc w:val="both"/>
      </w:pPr>
      <w:r>
        <w:t>It is recommended that the company develop a more systematic data governance framework, including clearly defined data quality standards, data lineage documentation, and master data management procedures. The data quality challenges encountered during the placement suggest that the absence of such a framework generates recurring costs in terms of data remediation effort that could be substantially reduced through upfront investment in data governance infrastructure. Tan et al. (2024) affirm that organisations with mature data governance practices demonstrate measurably higher data science project success rates, highlighting the strategic value of such investment.</w:t>
      </w:r>
    </w:p>
    <w:p w14:paraId="2DAE40A6" w14:textId="77777777" w:rsidR="002C1F35" w:rsidRDefault="00000000">
      <w:pPr>
        <w:spacing w:before="120" w:after="120" w:line="360" w:lineRule="auto"/>
        <w:jc w:val="both"/>
      </w:pPr>
      <w:r>
        <w:lastRenderedPageBreak/>
        <w:t>The company is further encouraged to consider investing in cloud-based computing infrastructure to overcome the resource constraints that limited the scale of certain modelling work during the placement. Cloud platforms offer scalable, cost-effective computing resources that would enable the development of more sophisticated models and the processing of larger datasets, enhancing the quality and competitiveness of the company's analytical service offerings.</w:t>
      </w:r>
    </w:p>
    <w:p w14:paraId="10F2EEC2" w14:textId="77777777" w:rsidR="002C1F35" w:rsidRDefault="00000000">
      <w:pPr>
        <w:spacing w:before="120" w:after="120" w:line="360" w:lineRule="auto"/>
        <w:jc w:val="both"/>
      </w:pPr>
      <w:r>
        <w:t>With respect to the internship programme specifically, it is recommended that Claxon Actuaries develop a structured onboarding curriculum that provides interns with grounding in the key actuarial concepts, regulatory frameworks, and software tools relevant to their work before assigning them to project tasks. Such preparation would reduce the time required for interns to become productive contributors and would enhance the quality of their technical output.</w:t>
      </w:r>
    </w:p>
    <w:p w14:paraId="52BE42C5" w14:textId="77777777" w:rsidR="002C1F35" w:rsidRDefault="00000000">
      <w:pPr>
        <w:spacing w:before="120" w:after="120" w:line="360" w:lineRule="auto"/>
        <w:jc w:val="both"/>
      </w:pPr>
      <w:r>
        <w:t>Finally, the establishment of a formal knowledge management system to document methodologies, code libraries, and analytical frameworks would reduce dependence on tacit knowledge held by individual staff members and facilitate more efficient knowledge transfer to new team members and interns.</w:t>
      </w:r>
    </w:p>
    <w:p w14:paraId="6814658B" w14:textId="77777777" w:rsidR="002C1F35" w:rsidRDefault="00000000">
      <w:pPr>
        <w:pStyle w:val="Heading2"/>
      </w:pPr>
      <w:r>
        <w:t>5.4 Conclusion</w:t>
      </w:r>
    </w:p>
    <w:p w14:paraId="71886780" w14:textId="77777777" w:rsidR="002C1F35" w:rsidRDefault="00000000">
      <w:pPr>
        <w:spacing w:before="120" w:after="120" w:line="360" w:lineRule="auto"/>
        <w:jc w:val="both"/>
      </w:pPr>
      <w:r>
        <w:t>The Work Related Learning placement at Claxon Actuaries (Pvt) Ltd represented a profoundly valuable educational experience that fulfilled and in several respects exceeded the developmental objectives of the DSI342 programme. The placement provided sustained and substantive exposure to the practical application of data science within the actuarial and financial services consulting industry, an environment that is both technically demanding and professionally stimulating.</w:t>
      </w:r>
    </w:p>
    <w:p w14:paraId="18F789D2" w14:textId="77777777" w:rsidR="002C1F35" w:rsidRDefault="00000000">
      <w:pPr>
        <w:spacing w:before="120" w:after="120" w:line="360" w:lineRule="auto"/>
        <w:jc w:val="both"/>
      </w:pPr>
      <w:r>
        <w:t>The work accomplished during the placement – encompassing data infrastructure development, customer segmentation modelling, claims prediction systems, risk assessment dashboard development, fraud detection, process automation, and regulatory compliance support – demonstrated the practical applicability and significant business value of the competencies developed through the Data Science and Informatics degree programme. At the same time, the placement experience surfaced important areas in which the gap between academic training and industry requirements warrants attention, both at the level of individual skill development and at the level of curriculum design.</w:t>
      </w:r>
    </w:p>
    <w:p w14:paraId="6B6EFB8D" w14:textId="77777777" w:rsidR="002C1F35" w:rsidRDefault="00000000">
      <w:pPr>
        <w:spacing w:before="120" w:after="120" w:line="360" w:lineRule="auto"/>
        <w:jc w:val="both"/>
      </w:pPr>
      <w:r>
        <w:lastRenderedPageBreak/>
        <w:t>The personal and professional development achieved through the placement, including enhanced technical proficiency, improved project management capabilities, strengthened professional communication skills, and a clearer sense of career direction, will provide a durable foundation for the successful completion of the final year of the degree programme and for the transition into professional practice thereafter. The challenges encountered, including data quality complexities, steep domain learning curves, and the management of tensions between personal learning objectives and organisational priorities, served not as obstacles but as catalysts for the development of the practical judgment and adaptive capacity that characterise effective professional practice.</w:t>
      </w:r>
    </w:p>
    <w:p w14:paraId="1BB54E41" w14:textId="77777777" w:rsidR="002C1F35" w:rsidRDefault="00000000">
      <w:pPr>
        <w:spacing w:before="120" w:after="120" w:line="360" w:lineRule="auto"/>
        <w:jc w:val="both"/>
      </w:pPr>
      <w:r>
        <w:t>In conclusion, the WRL placement at Claxon Actuaries is assessed to have been a highly successful and educationally rewarding experience that has materially advanced the professional readiness of the student, enriched the academic learning journey, and contributed, albeit in a modest capacity, to the operational effectiveness of the host organisation.</w:t>
      </w:r>
    </w:p>
    <w:p w14:paraId="1587DB2C" w14:textId="77777777" w:rsidR="002C1F35" w:rsidRDefault="00000000">
      <w:r>
        <w:br w:type="page"/>
      </w:r>
    </w:p>
    <w:p w14:paraId="17EFEC5F" w14:textId="77777777" w:rsidR="002C1F35" w:rsidRDefault="00000000">
      <w:pPr>
        <w:pStyle w:val="Heading1"/>
      </w:pPr>
      <w:r>
        <w:lastRenderedPageBreak/>
        <w:t>REFERENCES</w:t>
      </w:r>
    </w:p>
    <w:p w14:paraId="6A4BB3A1" w14:textId="77777777" w:rsidR="002C1F35" w:rsidRDefault="002C1F35"/>
    <w:p w14:paraId="75370D63" w14:textId="77777777" w:rsidR="002C1F35" w:rsidRDefault="00000000">
      <w:pPr>
        <w:spacing w:before="120" w:after="120" w:line="360" w:lineRule="auto"/>
        <w:jc w:val="both"/>
      </w:pPr>
      <w:r>
        <w:t>Actuarial Society of South Africa. (2023). Guidelines for IFRS 17 implementation in Southern Africa. ASSA Publications.</w:t>
      </w:r>
    </w:p>
    <w:p w14:paraId="5C09905D" w14:textId="77777777" w:rsidR="002C1F35" w:rsidRDefault="002C1F35"/>
    <w:p w14:paraId="75F4344C" w14:textId="77777777" w:rsidR="002C1F35" w:rsidRDefault="00000000">
      <w:pPr>
        <w:spacing w:before="120" w:after="120" w:line="360" w:lineRule="auto"/>
        <w:jc w:val="both"/>
      </w:pPr>
      <w:r>
        <w:t>Anderson, J. K. and Mitchell, R. S. (2024). Machine learning applications in insurance risk assessment. Journal of Actuarial Science and Technology, 15(3), pp. 45–62.</w:t>
      </w:r>
    </w:p>
    <w:p w14:paraId="348732C2" w14:textId="77777777" w:rsidR="002C1F35" w:rsidRDefault="002C1F35"/>
    <w:p w14:paraId="41B30CBA" w14:textId="77777777" w:rsidR="002C1F35" w:rsidRDefault="00000000">
      <w:pPr>
        <w:spacing w:before="120" w:after="120" w:line="360" w:lineRule="auto"/>
        <w:jc w:val="both"/>
      </w:pPr>
      <w:r>
        <w:t>Claxon Actuaries (Pvt) Ltd. (2024). Company profile and service portfolio. Available at: https://claxonactuaries.com [Accessed: 15 September 2025].</w:t>
      </w:r>
    </w:p>
    <w:p w14:paraId="0CFC03A8" w14:textId="77777777" w:rsidR="002C1F35" w:rsidRDefault="002C1F35"/>
    <w:p w14:paraId="3B24ED78" w14:textId="77777777" w:rsidR="002C1F35" w:rsidRDefault="00000000">
      <w:pPr>
        <w:spacing w:before="120" w:after="120" w:line="360" w:lineRule="auto"/>
        <w:jc w:val="both"/>
      </w:pPr>
      <w:r>
        <w:t>Financial Services Commission of Zimbabwe. (2023). Risk-based capital requirements for insurance companies. Government Publications, Harare.</w:t>
      </w:r>
    </w:p>
    <w:p w14:paraId="12B6D93B" w14:textId="77777777" w:rsidR="002C1F35" w:rsidRDefault="002C1F35"/>
    <w:p w14:paraId="0BB86E99" w14:textId="77777777" w:rsidR="002C1F35" w:rsidRDefault="00000000">
      <w:pPr>
        <w:spacing w:before="120" w:after="120" w:line="360" w:lineRule="auto"/>
        <w:jc w:val="both"/>
      </w:pPr>
      <w:r>
        <w:t xml:space="preserve">Hastie, T., </w:t>
      </w:r>
      <w:proofErr w:type="spellStart"/>
      <w:r>
        <w:t>Tibshirani</w:t>
      </w:r>
      <w:proofErr w:type="spellEnd"/>
      <w:r>
        <w:t xml:space="preserve">, R. and Friedman, J. (2023). The elements of statistical learning: data mining, inference, and prediction. 3rd </w:t>
      </w:r>
      <w:proofErr w:type="spellStart"/>
      <w:r>
        <w:t>edn</w:t>
      </w:r>
      <w:proofErr w:type="spellEnd"/>
      <w:r>
        <w:t>. Springer-Verlag.</w:t>
      </w:r>
    </w:p>
    <w:p w14:paraId="3D77A5F8" w14:textId="77777777" w:rsidR="002C1F35" w:rsidRDefault="002C1F35"/>
    <w:p w14:paraId="3226F263" w14:textId="77777777" w:rsidR="002C1F35" w:rsidRDefault="00000000">
      <w:pPr>
        <w:spacing w:before="120" w:after="120" w:line="360" w:lineRule="auto"/>
        <w:jc w:val="both"/>
      </w:pPr>
      <w:r>
        <w:t>Insurance and Pensions Commission of Zimbabwe. (2024). Annual insurance industry report 2023. IPC Publications.</w:t>
      </w:r>
    </w:p>
    <w:p w14:paraId="1B2D8AE5" w14:textId="77777777" w:rsidR="002C1F35" w:rsidRDefault="002C1F35"/>
    <w:p w14:paraId="3D363F3E" w14:textId="77777777" w:rsidR="002C1F35" w:rsidRDefault="00000000">
      <w:pPr>
        <w:spacing w:before="120" w:after="120" w:line="360" w:lineRule="auto"/>
        <w:jc w:val="both"/>
      </w:pPr>
      <w:r>
        <w:t xml:space="preserve">James, G., Witten, D., Hastie, T. and </w:t>
      </w:r>
      <w:proofErr w:type="spellStart"/>
      <w:r>
        <w:t>Tibshirani</w:t>
      </w:r>
      <w:proofErr w:type="spellEnd"/>
      <w:r>
        <w:t xml:space="preserve">, R. (2023). An introduction to statistical learning with applications in Python. 2nd </w:t>
      </w:r>
      <w:proofErr w:type="spellStart"/>
      <w:r>
        <w:t>edn</w:t>
      </w:r>
      <w:proofErr w:type="spellEnd"/>
      <w:r>
        <w:t>. Springer.</w:t>
      </w:r>
    </w:p>
    <w:p w14:paraId="6525155F" w14:textId="77777777" w:rsidR="002C1F35" w:rsidRDefault="002C1F35"/>
    <w:p w14:paraId="5AB1D446" w14:textId="77777777" w:rsidR="002C1F35" w:rsidRDefault="00000000">
      <w:pPr>
        <w:spacing w:before="120" w:after="120" w:line="360" w:lineRule="auto"/>
        <w:jc w:val="both"/>
      </w:pPr>
      <w:r>
        <w:t xml:space="preserve">Kaas, R., </w:t>
      </w:r>
      <w:proofErr w:type="spellStart"/>
      <w:r>
        <w:t>Goovaerts</w:t>
      </w:r>
      <w:proofErr w:type="spellEnd"/>
      <w:r>
        <w:t xml:space="preserve">, M., </w:t>
      </w:r>
      <w:proofErr w:type="spellStart"/>
      <w:r>
        <w:t>Dhaene</w:t>
      </w:r>
      <w:proofErr w:type="spellEnd"/>
      <w:r>
        <w:t xml:space="preserve">, J. and </w:t>
      </w:r>
      <w:proofErr w:type="spellStart"/>
      <w:r>
        <w:t>Denuit</w:t>
      </w:r>
      <w:proofErr w:type="spellEnd"/>
      <w:r>
        <w:t xml:space="preserve">, M. (2024). Modern actuarial risk theory using R. 3rd </w:t>
      </w:r>
      <w:proofErr w:type="spellStart"/>
      <w:r>
        <w:t>edn</w:t>
      </w:r>
      <w:proofErr w:type="spellEnd"/>
      <w:r>
        <w:t>. Springer-Verlag.</w:t>
      </w:r>
    </w:p>
    <w:p w14:paraId="73295772" w14:textId="77777777" w:rsidR="002C1F35" w:rsidRDefault="002C1F35"/>
    <w:p w14:paraId="140C9E56" w14:textId="77777777" w:rsidR="002C1F35" w:rsidRDefault="00000000">
      <w:pPr>
        <w:spacing w:before="120" w:after="120" w:line="360" w:lineRule="auto"/>
        <w:jc w:val="both"/>
      </w:pPr>
      <w:r>
        <w:t>Kolb, D. A. (1984). Experiential learning: experience as the source of learning and development. Prentice-Hall.</w:t>
      </w:r>
    </w:p>
    <w:p w14:paraId="43230EB3" w14:textId="77777777" w:rsidR="002C1F35" w:rsidRDefault="002C1F35"/>
    <w:p w14:paraId="32F7D17A" w14:textId="77777777" w:rsidR="002C1F35" w:rsidRDefault="00000000">
      <w:pPr>
        <w:spacing w:before="120" w:after="120" w:line="360" w:lineRule="auto"/>
        <w:jc w:val="both"/>
      </w:pPr>
      <w:r>
        <w:lastRenderedPageBreak/>
        <w:t>McKinsey and Company. (2024). Digital transformation in African insurance markets. McKinsey Global Institute Report.</w:t>
      </w:r>
    </w:p>
    <w:p w14:paraId="682C1719" w14:textId="77777777" w:rsidR="002C1F35" w:rsidRDefault="002C1F35"/>
    <w:p w14:paraId="7E7F1BDB" w14:textId="77777777" w:rsidR="002C1F35" w:rsidRDefault="00000000">
      <w:pPr>
        <w:spacing w:before="120" w:after="120" w:line="360" w:lineRule="auto"/>
        <w:jc w:val="both"/>
      </w:pPr>
      <w:r>
        <w:t xml:space="preserve">Ohlsson, E. and Johansson, B. (2023). Non-life insurance pricing with generalised linear models. 2nd </w:t>
      </w:r>
      <w:proofErr w:type="spellStart"/>
      <w:r>
        <w:t>edn</w:t>
      </w:r>
      <w:proofErr w:type="spellEnd"/>
      <w:r>
        <w:t>. EAA Lecture Notes, Springer.</w:t>
      </w:r>
    </w:p>
    <w:p w14:paraId="6D5C9179" w14:textId="77777777" w:rsidR="002C1F35" w:rsidRDefault="002C1F35"/>
    <w:p w14:paraId="1345C4F9" w14:textId="77777777" w:rsidR="002C1F35" w:rsidRDefault="00000000">
      <w:pPr>
        <w:spacing w:before="120" w:after="120" w:line="360" w:lineRule="auto"/>
        <w:jc w:val="both"/>
      </w:pPr>
      <w:r>
        <w:t>PricewaterhouseCoopers. (2024). IFRS 17 implementation in emerging markets: challenges and opportunities. PwC Insurance Industry Analysis.</w:t>
      </w:r>
    </w:p>
    <w:p w14:paraId="76A23B3A" w14:textId="77777777" w:rsidR="002C1F35" w:rsidRDefault="002C1F35"/>
    <w:p w14:paraId="48C717CE" w14:textId="77777777" w:rsidR="002C1F35" w:rsidRDefault="00000000">
      <w:pPr>
        <w:spacing w:before="120" w:after="120" w:line="360" w:lineRule="auto"/>
        <w:jc w:val="both"/>
      </w:pPr>
      <w:r>
        <w:t>Reserve Bank of Zimbabwe. (2023). Financial stability report 2023. RBZ Publications, Harare.</w:t>
      </w:r>
    </w:p>
    <w:p w14:paraId="18E91DDE" w14:textId="77777777" w:rsidR="002C1F35" w:rsidRDefault="002C1F35"/>
    <w:p w14:paraId="422B93EE" w14:textId="77777777" w:rsidR="002C1F35" w:rsidRDefault="00000000">
      <w:pPr>
        <w:spacing w:before="120" w:after="120" w:line="360" w:lineRule="auto"/>
        <w:jc w:val="both"/>
      </w:pPr>
      <w:r>
        <w:t xml:space="preserve">Tan, P. N., Steinbach, M., </w:t>
      </w:r>
      <w:proofErr w:type="spellStart"/>
      <w:r>
        <w:t>Karpatne</w:t>
      </w:r>
      <w:proofErr w:type="spellEnd"/>
      <w:r>
        <w:t xml:space="preserve">, A. and Kumar, V. (2024). Introduction to data mining. 2nd </w:t>
      </w:r>
      <w:proofErr w:type="spellStart"/>
      <w:r>
        <w:t>edn</w:t>
      </w:r>
      <w:proofErr w:type="spellEnd"/>
      <w:r>
        <w:t>. Pearson Education.</w:t>
      </w:r>
    </w:p>
    <w:p w14:paraId="1CD6F9D7" w14:textId="77777777" w:rsidR="002C1F35" w:rsidRDefault="002C1F35"/>
    <w:p w14:paraId="7E3B618D" w14:textId="77777777" w:rsidR="002C1F35" w:rsidRDefault="00000000">
      <w:pPr>
        <w:spacing w:before="120" w:after="120" w:line="360" w:lineRule="auto"/>
        <w:jc w:val="both"/>
      </w:pPr>
      <w:r>
        <w:t>Wüthrich, M. V. and Merz, M. (2023). Statistical foundations of actuarial learning and its applications. Springer Actuarial Lecture Notes.</w:t>
      </w:r>
    </w:p>
    <w:p w14:paraId="471A641F" w14:textId="77777777" w:rsidR="002C1F35" w:rsidRDefault="002C1F35"/>
    <w:p w14:paraId="5A7FC384" w14:textId="77777777" w:rsidR="002C1F35" w:rsidRDefault="00000000">
      <w:pPr>
        <w:spacing w:before="120" w:after="120" w:line="360" w:lineRule="auto"/>
        <w:jc w:val="both"/>
      </w:pPr>
      <w:r>
        <w:t>Zimbabwe Insurance Industry Association. (2024). Industry statistical report 2023. ZIIA Publications, Harare.</w:t>
      </w:r>
    </w:p>
    <w:p w14:paraId="727C7904" w14:textId="77777777" w:rsidR="002C1F35" w:rsidRDefault="00000000">
      <w:r>
        <w:br w:type="page"/>
      </w:r>
    </w:p>
    <w:p w14:paraId="2C3B7508" w14:textId="77777777" w:rsidR="002C1F35" w:rsidRDefault="00000000">
      <w:pPr>
        <w:pStyle w:val="Heading1"/>
      </w:pPr>
      <w:r>
        <w:lastRenderedPageBreak/>
        <w:t>APPENDICES</w:t>
      </w:r>
    </w:p>
    <w:p w14:paraId="00058103" w14:textId="77777777" w:rsidR="002C1F35" w:rsidRDefault="00000000">
      <w:pPr>
        <w:pStyle w:val="Heading2"/>
      </w:pPr>
      <w:r>
        <w:t>Appendix I: Turnitin Plagiarism Report</w:t>
      </w:r>
    </w:p>
    <w:p w14:paraId="6E33000B" w14:textId="77777777" w:rsidR="002C1F35" w:rsidRDefault="00000000">
      <w:pPr>
        <w:spacing w:before="120" w:after="120" w:line="360" w:lineRule="auto"/>
        <w:jc w:val="both"/>
      </w:pPr>
      <w:r>
        <w:t>[INSERT TURNITIN PLAGIARISM REPORT HERE – Ensure plagiarism index does not exceed 15%]</w:t>
      </w:r>
    </w:p>
    <w:p w14:paraId="3595896E" w14:textId="77777777" w:rsidR="002C1F35" w:rsidRDefault="00000000">
      <w:r>
        <w:br w:type="page"/>
      </w:r>
    </w:p>
    <w:p w14:paraId="224130B5" w14:textId="7D3C352F" w:rsidR="002C1F35" w:rsidRDefault="00000000">
      <w:pPr>
        <w:pStyle w:val="Heading2"/>
      </w:pPr>
      <w:r>
        <w:lastRenderedPageBreak/>
        <w:t>Chart of Claxon Actuaries (Pvt) Ltd</w:t>
      </w:r>
    </w:p>
    <w:p w14:paraId="39F64E52" w14:textId="77777777" w:rsidR="002C1F35" w:rsidRDefault="00000000">
      <w:pPr>
        <w:spacing w:before="120" w:after="120" w:line="360" w:lineRule="auto"/>
        <w:jc w:val="both"/>
      </w:pPr>
      <w:r>
        <w:t>[INSERT ORGANISATIONAL CHART HERE]</w:t>
      </w:r>
    </w:p>
    <w:sectPr w:rsidR="002C1F35">
      <w:headerReference w:type="default" r:id="rId9"/>
      <w:footerReference w:type="default" r:id="rId10"/>
      <w:pgSz w:w="12240" w:h="15840"/>
      <w:pgMar w:top="1440" w:right="1440" w:bottom="144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1200856" w14:textId="77777777" w:rsidR="002C2FA7" w:rsidRDefault="002C2FA7">
      <w:r>
        <w:separator/>
      </w:r>
    </w:p>
  </w:endnote>
  <w:endnote w:type="continuationSeparator" w:id="0">
    <w:p w14:paraId="1849087D" w14:textId="77777777" w:rsidR="002C2FA7" w:rsidRDefault="002C2F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CD4A52" w14:textId="77777777" w:rsidR="00B93540" w:rsidRDefault="00B93540">
    <w:pPr>
      <w:pStyle w:val="Footer"/>
      <w:jc w:val="center"/>
      <w:rPr>
        <w:caps/>
        <w:noProof/>
        <w:color w:val="4472C4" w:themeColor="accent1"/>
      </w:rPr>
    </w:pPr>
    <w:r>
      <w:rPr>
        <w:caps/>
        <w:color w:val="4472C4" w:themeColor="accent1"/>
      </w:rPr>
      <w:fldChar w:fldCharType="begin"/>
    </w:r>
    <w:r>
      <w:rPr>
        <w:caps/>
        <w:color w:val="4472C4" w:themeColor="accent1"/>
      </w:rPr>
      <w:instrText xml:space="preserve"> PAGE   \* MERGEFORMAT </w:instrText>
    </w:r>
    <w:r>
      <w:rPr>
        <w:caps/>
        <w:color w:val="4472C4" w:themeColor="accent1"/>
      </w:rPr>
      <w:fldChar w:fldCharType="separate"/>
    </w:r>
    <w:r>
      <w:rPr>
        <w:caps/>
        <w:noProof/>
        <w:color w:val="4472C4" w:themeColor="accent1"/>
      </w:rPr>
      <w:t>2</w:t>
    </w:r>
    <w:r>
      <w:rPr>
        <w:caps/>
        <w:noProof/>
        <w:color w:val="4472C4" w:themeColor="accent1"/>
      </w:rPr>
      <w:fldChar w:fldCharType="end"/>
    </w:r>
  </w:p>
  <w:p w14:paraId="0EA91AC3" w14:textId="77777777" w:rsidR="002C1F35" w:rsidRDefault="002C1F35">
    <w:pPr>
      <w:pBdr>
        <w:top w:val="single" w:sz="6" w:space="1" w:color="000000"/>
      </w:pBd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8FE660B" w14:textId="77777777" w:rsidR="002C2FA7" w:rsidRDefault="002C2FA7">
      <w:r>
        <w:separator/>
      </w:r>
    </w:p>
  </w:footnote>
  <w:footnote w:type="continuationSeparator" w:id="0">
    <w:p w14:paraId="546AB8FA" w14:textId="77777777" w:rsidR="002C2FA7" w:rsidRDefault="002C2FA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BB1DB8" w14:textId="77777777" w:rsidR="002C1F35" w:rsidRDefault="002C1F35" w:rsidP="00B93540">
    <w:pPr>
      <w:pBdr>
        <w:bottom w:val="single" w:sz="6" w:space="0" w:color="000000"/>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465831"/>
    <w:multiLevelType w:val="hybridMultilevel"/>
    <w:tmpl w:val="449C94A2"/>
    <w:lvl w:ilvl="0" w:tplc="75A223C6">
      <w:start w:val="1"/>
      <w:numFmt w:val="bullet"/>
      <w:lvlText w:val="●"/>
      <w:lvlJc w:val="left"/>
      <w:pPr>
        <w:ind w:left="720" w:hanging="360"/>
      </w:pPr>
    </w:lvl>
    <w:lvl w:ilvl="1" w:tplc="EF60DF34">
      <w:start w:val="1"/>
      <w:numFmt w:val="bullet"/>
      <w:lvlText w:val="○"/>
      <w:lvlJc w:val="left"/>
      <w:pPr>
        <w:ind w:left="1440" w:hanging="360"/>
      </w:pPr>
    </w:lvl>
    <w:lvl w:ilvl="2" w:tplc="8FA64DD2">
      <w:start w:val="1"/>
      <w:numFmt w:val="bullet"/>
      <w:lvlText w:val="■"/>
      <w:lvlJc w:val="left"/>
      <w:pPr>
        <w:ind w:left="2160" w:hanging="360"/>
      </w:pPr>
    </w:lvl>
    <w:lvl w:ilvl="3" w:tplc="020E3206">
      <w:start w:val="1"/>
      <w:numFmt w:val="bullet"/>
      <w:lvlText w:val="●"/>
      <w:lvlJc w:val="left"/>
      <w:pPr>
        <w:ind w:left="2880" w:hanging="360"/>
      </w:pPr>
    </w:lvl>
    <w:lvl w:ilvl="4" w:tplc="77A69C2E">
      <w:start w:val="1"/>
      <w:numFmt w:val="bullet"/>
      <w:lvlText w:val="○"/>
      <w:lvlJc w:val="left"/>
      <w:pPr>
        <w:ind w:left="3600" w:hanging="360"/>
      </w:pPr>
    </w:lvl>
    <w:lvl w:ilvl="5" w:tplc="297E0C90">
      <w:start w:val="1"/>
      <w:numFmt w:val="bullet"/>
      <w:lvlText w:val="■"/>
      <w:lvlJc w:val="left"/>
      <w:pPr>
        <w:ind w:left="4320" w:hanging="360"/>
      </w:pPr>
    </w:lvl>
    <w:lvl w:ilvl="6" w:tplc="405A17AE">
      <w:start w:val="1"/>
      <w:numFmt w:val="bullet"/>
      <w:lvlText w:val="●"/>
      <w:lvlJc w:val="left"/>
      <w:pPr>
        <w:ind w:left="5040" w:hanging="360"/>
      </w:pPr>
    </w:lvl>
    <w:lvl w:ilvl="7" w:tplc="BF70DAE6">
      <w:start w:val="1"/>
      <w:numFmt w:val="bullet"/>
      <w:lvlText w:val="●"/>
      <w:lvlJc w:val="left"/>
      <w:pPr>
        <w:ind w:left="5760" w:hanging="360"/>
      </w:pPr>
    </w:lvl>
    <w:lvl w:ilvl="8" w:tplc="2174BBDA">
      <w:start w:val="1"/>
      <w:numFmt w:val="bullet"/>
      <w:lvlText w:val="●"/>
      <w:lvlJc w:val="left"/>
      <w:pPr>
        <w:ind w:left="6480" w:hanging="360"/>
      </w:pPr>
    </w:lvl>
  </w:abstractNum>
  <w:num w:numId="1" w16cid:durableId="189395486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8"/>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1F35"/>
    <w:rsid w:val="00004AF4"/>
    <w:rsid w:val="000C406A"/>
    <w:rsid w:val="002C1F35"/>
    <w:rsid w:val="002C2FA7"/>
    <w:rsid w:val="004653F8"/>
    <w:rsid w:val="00701F2E"/>
    <w:rsid w:val="0077661A"/>
    <w:rsid w:val="00892318"/>
    <w:rsid w:val="00905DEE"/>
    <w:rsid w:val="00A545B1"/>
    <w:rsid w:val="00B93540"/>
    <w:rsid w:val="00C445B9"/>
    <w:rsid w:val="00EF513F"/>
  </w:rsids>
  <m:mathPr>
    <m:mathFont m:val="Cambria Math"/>
    <m:brkBin m:val="before"/>
    <m:brkBinSub m:val="--"/>
    <m:smallFrac m:val="0"/>
    <m:dispDef/>
    <m:lMargin m:val="0"/>
    <m:rMargin m:val="0"/>
    <m:defJc m:val="centerGroup"/>
    <m:wrapIndent m:val="1440"/>
    <m:intLim m:val="subSup"/>
    <m:naryLim m:val="undOvr"/>
  </m:mathPr>
  <w:themeFontLang w:val="en-ZW"/>
  <w:clrSchemeMapping w:bg1="light1" w:t1="dark1" w:bg2="light2" w:t2="dark2" w:accent1="accent1" w:accent2="accent2" w:accent3="accent3" w:accent4="accent4" w:accent5="accent5" w:accent6="accent6" w:hyperlink="hyperlink" w:followedHyperlink="followedHyperlink"/>
  <w:decimalSymbol w:val="."/>
  <w:listSeparator w:val=","/>
  <w14:docId w14:val="06AF3C7A"/>
  <w15:docId w15:val="{BB5CD643-3215-9E49-8365-406833A615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ZW"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40"/>
      <w:outlineLvl w:val="0"/>
    </w:pPr>
    <w:rPr>
      <w:b/>
      <w:bCs/>
      <w:color w:val="000000"/>
      <w:sz w:val="28"/>
      <w:szCs w:val="28"/>
    </w:rPr>
  </w:style>
  <w:style w:type="paragraph" w:styleId="Heading2">
    <w:name w:val="heading 2"/>
    <w:uiPriority w:val="9"/>
    <w:unhideWhenUsed/>
    <w:qFormat/>
    <w:pPr>
      <w:spacing w:before="280" w:after="160"/>
      <w:outlineLvl w:val="1"/>
    </w:pPr>
    <w:rPr>
      <w:b/>
      <w:bCs/>
      <w:color w:val="000000"/>
    </w:rPr>
  </w:style>
  <w:style w:type="paragraph" w:styleId="Heading3">
    <w:name w:val="heading 3"/>
    <w:uiPriority w:val="9"/>
    <w:semiHidden/>
    <w:unhideWhenUsed/>
    <w:qFormat/>
    <w:pPr>
      <w:spacing w:before="200" w:after="120"/>
      <w:outlineLvl w:val="2"/>
    </w:pPr>
    <w:rPr>
      <w:b/>
      <w:bCs/>
      <w:i/>
      <w:iCs/>
      <w:color w:val="00000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B93540"/>
    <w:pPr>
      <w:tabs>
        <w:tab w:val="center" w:pos="4513"/>
        <w:tab w:val="right" w:pos="9026"/>
      </w:tabs>
    </w:pPr>
  </w:style>
  <w:style w:type="character" w:customStyle="1" w:styleId="HeaderChar">
    <w:name w:val="Header Char"/>
    <w:basedOn w:val="DefaultParagraphFont"/>
    <w:link w:val="Header"/>
    <w:uiPriority w:val="99"/>
    <w:rsid w:val="00B93540"/>
  </w:style>
  <w:style w:type="paragraph" w:styleId="Footer">
    <w:name w:val="footer"/>
    <w:basedOn w:val="Normal"/>
    <w:link w:val="FooterChar"/>
    <w:uiPriority w:val="99"/>
    <w:unhideWhenUsed/>
    <w:rsid w:val="00B93540"/>
    <w:pPr>
      <w:tabs>
        <w:tab w:val="center" w:pos="4513"/>
        <w:tab w:val="right" w:pos="9026"/>
      </w:tabs>
    </w:pPr>
  </w:style>
  <w:style w:type="character" w:customStyle="1" w:styleId="FooterChar">
    <w:name w:val="Footer Char"/>
    <w:basedOn w:val="DefaultParagraphFont"/>
    <w:link w:val="Footer"/>
    <w:uiPriority w:val="99"/>
    <w:rsid w:val="00B93540"/>
  </w:style>
  <w:style w:type="paragraph" w:styleId="NormalWeb">
    <w:name w:val="Normal (Web)"/>
    <w:basedOn w:val="Normal"/>
    <w:uiPriority w:val="99"/>
    <w:semiHidden/>
    <w:unhideWhenUsed/>
    <w:rsid w:val="004653F8"/>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416434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30</Pages>
  <Words>6527</Words>
  <Characters>37208</Characters>
  <Application>Microsoft Office Word</Application>
  <DocSecurity>0</DocSecurity>
  <Lines>310</Lines>
  <Paragraphs>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Chengetanai Mukanhairi</cp:lastModifiedBy>
  <cp:revision>10</cp:revision>
  <dcterms:created xsi:type="dcterms:W3CDTF">2026-04-12T07:55:00Z</dcterms:created>
  <dcterms:modified xsi:type="dcterms:W3CDTF">2026-04-13T15:11:00Z</dcterms:modified>
</cp:coreProperties>
</file>