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80"/>
        <w:jc w:val="center"/>
      </w:pPr>
      <w:r>
        <w:rPr>
          <w:rFonts w:ascii="Times New Roman" w:hAnsi="Times New Roman" w:eastAsia="Times New Roman"/>
          <w:b w:val="0"/>
          <w:i w:val="0"/>
          <w:color w:val="000000"/>
          <w:sz w:val="24"/>
        </w:rPr>
        <w:t>California State University, East Bay</w:t>
      </w:r>
    </w:p>
    <w:p>
      <w:pPr>
        <w:spacing w:after="280"/>
        <w:jc w:val="center"/>
      </w:pPr>
      <w:r>
        <w:rPr>
          <w:rFonts w:ascii="Times New Roman" w:hAnsi="Times New Roman" w:eastAsia="Times New Roman"/>
          <w:b w:val="0"/>
          <w:i w:val="0"/>
          <w:color w:val="000000"/>
          <w:sz w:val="24"/>
        </w:rPr>
        <w:t>May 2026</w:t>
      </w:r>
    </w:p>
    <w:p>
      <w:pPr>
        <w:spacing w:after="0"/>
        <w:jc w:val="center"/>
      </w:pPr>
      <w:r>
        <w:rPr>
          <w:rFonts w:ascii="Times New Roman" w:hAnsi="Times New Roman" w:eastAsia="Times New Roman"/>
          <w:b w:val="0"/>
          <w:i/>
          <w:color w:val="000000"/>
          <w:sz w:val="20"/>
        </w:rPr>
        <w:t>Source code: https://github.com/Chenghui-Tan/shopping-assistant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6.  Conclusions and Impact</w:t>
        <w:tab/>
        <w:t>26</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behaviours (e.g., trade-off cards, relaxation banners, lifecycle personalisation).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Consumer-behaviour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organised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generalisable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summarises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personalised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behaviours (e.g., trade-off cards, relaxation banners, lifecycle personalisation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optimise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1 shows the resulting end-to-end flow across the five layers. Figure 2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1" name="Picture 1"/>
            <wp:cNvGraphicFramePr>
              <a:graphicFrameLocks noChangeAspect="1"/>
            </wp:cNvGraphicFramePr>
            <a:graphic>
              <a:graphicData uri="http://schemas.openxmlformats.org/drawingml/2006/picture">
                <pic:pic>
                  <pic:nvPicPr>
                    <pic:cNvPr id="0" name="v6_figure1.png"/>
                    <pic:cNvPicPr/>
                  </pic:nvPicPr>
                  <pic:blipFill>
                    <a:blip r:embed="rId9"/>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2" name="Picture 2"/>
            <wp:cNvGraphicFramePr>
              <a:graphicFrameLocks noChangeAspect="1"/>
            </wp:cNvGraphicFramePr>
            <a:graphic>
              <a:graphicData uri="http://schemas.openxmlformats.org/drawingml/2006/picture">
                <pic:pic>
                  <pic:nvPicPr>
                    <pic:cNvPr id="0" name="figure2_runtime.png"/>
                    <pic:cNvPicPr/>
                  </pic:nvPicPr>
                  <pic:blipFill>
                    <a:blip r:embed="rId10"/>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4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Conceptual star schema. The current prototype materialises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summarised in Table 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3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3" name="Picture 3"/>
            <wp:cNvGraphicFramePr>
              <a:graphicFrameLocks noChangeAspect="1"/>
            </wp:cNvGraphicFramePr>
            <a:graphic>
              <a:graphicData uri="http://schemas.openxmlformats.org/drawingml/2006/picture">
                <pic:pic>
                  <pic:nvPicPr>
                    <pic:cNvPr id="0" name="results_score_distribution.png"/>
                    <pic:cNvPicPr/>
                  </pic:nvPicPr>
                  <pic:blipFill>
                    <a:blip r:embed="rId11"/>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9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10 summarizes the four sources and their distinct evaluation lenses. Table 11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behaviour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12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behaviour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11.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D. Kahneman, Thinking, Fast and Slow. New York, NY, USA: Farrar, Straus and Giroux, 2011, ch. on choice fatigue.</w:t>
      </w:r>
    </w:p>
    <w:p>
      <w:pPr>
        <w:spacing w:after="60"/>
        <w:ind w:left="576" w:hanging="576"/>
      </w:pPr>
      <w:r>
        <w:rPr>
          <w:rFonts w:ascii="Times New Roman" w:hAnsi="Times New Roman" w:eastAsia="Times New Roman"/>
          <w:b w:val="0"/>
          <w:i w:val="0"/>
          <w:sz w:val="21"/>
        </w:rPr>
        <w:t>[7]  R. C. Reardon, J. P. Sampson, and G. W. Peterson, “Career interventions and post-purchase regret,” Journal of Career Development, vol. 26, no. 3, pp. 197–211, 2000.</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“Introducing ChatGPT shopping,” OpenAI Blog, Nov. 2024. [Online]. Available: https://openai.com/blog/chatgpt-shopping</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Anthropic, “Claude Opus 4.7 model card,” Anthropic, 2026. [Online]. Available: https://www.anthropic.com</w:t>
      </w:r>
    </w:p>
    <w:p>
      <w:pPr>
        <w:spacing w:after="60"/>
        <w:ind w:left="576" w:hanging="576"/>
      </w:pPr>
      <w:r>
        <w:rPr>
          <w:rFonts w:ascii="Times New Roman" w:hAnsi="Times New Roman" w:eastAsia="Times New Roman"/>
          <w:b w:val="0"/>
          <w:i w:val="0"/>
          <w:sz w:val="21"/>
        </w:rPr>
        <w:t>[16] Microsoft Playwright, “Playwright for Python documentation,” Microsoft Corp., 2024. [Online]. Available: https://playwright.dev/python/</w:t>
      </w:r>
    </w:p>
    <w:p>
      <w:pPr>
        <w:spacing w:after="60"/>
        <w:ind w:left="576" w:hanging="576"/>
      </w:pPr>
      <w:r>
        <w:rPr>
          <w:rFonts w:ascii="Times New Roman" w:hAnsi="Times New Roman" w:eastAsia="Times New Roman"/>
          <w:b w:val="0"/>
          <w:i w:val="0"/>
          <w:sz w:val="21"/>
        </w:rPr>
        <w:t>[17] R. T. Fielding and J. Reschke, “Hypertext Transfer Protocol (HTTP/1.1): Semantics and Content,” IETF RFC 7231, 2014.</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