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val="0"/>
          <w:i/>
          <w:color w:val="555566"/>
          <w:sz w:val="28"/>
        </w:rPr>
        <w:t>Applied Research Project</w:t>
      </w:r>
    </w:p>
    <w:p>
      <w:pPr>
        <w:jc w:val="center"/>
      </w:pPr>
      <w:r>
        <w:rPr>
          <w:rFonts w:ascii="Calibri" w:hAnsi="Calibri" w:eastAsia="Calibri"/>
          <w:b w:val="0"/>
          <w:i/>
          <w:color w:val="555566"/>
          <w:sz w:val="24"/>
        </w:rPr>
        <w:t>Final Report</w:t>
      </w:r>
    </w:p>
    <w:p/>
    <w:p>
      <w:pPr>
        <w:jc w:val="center"/>
      </w:pPr>
      <w:r>
        <w:rPr>
          <w:rFonts w:ascii="Calibri" w:hAnsi="Calibri" w:eastAsia="Calibri"/>
          <w:b/>
          <w:i w:val="0"/>
          <w:color w:val="1E2761"/>
          <w:sz w:val="44"/>
        </w:rPr>
        <w:t>A Decision-Oriented</w:t>
      </w:r>
    </w:p>
    <w:p>
      <w:pPr>
        <w:jc w:val="center"/>
      </w:pPr>
      <w:r>
        <w:rPr>
          <w:rFonts w:ascii="Calibri" w:hAnsi="Calibri" w:eastAsia="Calibri"/>
          <w:b/>
          <w:i w:val="0"/>
          <w:color w:val="1E2761"/>
          <w:sz w:val="44"/>
        </w:rPr>
        <w:t>Conversational Shopping Assistant</w:t>
      </w:r>
    </w:p>
    <w:p>
      <w:pPr>
        <w:jc w:val="center"/>
      </w:pPr>
      <w:r>
        <w:rPr>
          <w:rFonts w:ascii="Calibri" w:hAnsi="Calibri" w:eastAsia="Calibri"/>
          <w:b/>
          <w:i w:val="0"/>
          <w:color w:val="101836"/>
          <w:sz w:val="36"/>
        </w:rPr>
        <w:t>with Preference Elicitation</w:t>
      </w:r>
    </w:p>
    <w:p>
      <w:pPr>
        <w:jc w:val="center"/>
      </w:pPr>
      <w:r>
        <w:rPr>
          <w:rFonts w:ascii="Calibri" w:hAnsi="Calibri" w:eastAsia="Calibri"/>
          <w:b/>
          <w:i w:val="0"/>
          <w:color w:val="101836"/>
          <w:sz w:val="36"/>
        </w:rPr>
        <w:t>and Explainable Recommendations</w:t>
      </w:r>
    </w:p>
    <w:p/>
    <w:p/>
    <w:p/>
    <w:p>
      <w:pPr>
        <w:jc w:val="center"/>
      </w:pPr>
      <w:r>
        <w:rPr>
          <w:rFonts w:ascii="Calibri" w:hAnsi="Calibri" w:eastAsia="Calibri"/>
          <w:b/>
          <w:i w:val="0"/>
          <w:color w:val="1E2761"/>
          <w:sz w:val="24"/>
        </w:rPr>
        <w:t xml:space="preserve">Author:  </w:t>
      </w:r>
      <w:r>
        <w:rPr>
          <w:rFonts w:ascii="Calibri" w:hAnsi="Calibri" w:eastAsia="Calibri"/>
          <w:b w:val="0"/>
          <w:i w:val="0"/>
          <w:sz w:val="24"/>
        </w:rPr>
        <w:t>Chenghui Tan</w:t>
      </w:r>
    </w:p>
    <w:p>
      <w:pPr>
        <w:jc w:val="center"/>
      </w:pPr>
      <w:r>
        <w:rPr>
          <w:rFonts w:ascii="Calibri" w:hAnsi="Calibri" w:eastAsia="Calibri"/>
          <w:b/>
          <w:i w:val="0"/>
          <w:color w:val="1E2761"/>
          <w:sz w:val="24"/>
        </w:rPr>
        <w:t xml:space="preserve">Program:  </w:t>
      </w:r>
      <w:r>
        <w:rPr>
          <w:rFonts w:ascii="Calibri" w:hAnsi="Calibri" w:eastAsia="Calibri"/>
          <w:b w:val="0"/>
          <w:i w:val="0"/>
          <w:sz w:val="24"/>
        </w:rPr>
        <w:t>Master of Science in Business Analytics (MSBA)</w:t>
      </w:r>
    </w:p>
    <w:p>
      <w:pPr>
        <w:jc w:val="center"/>
      </w:pPr>
      <w:r>
        <w:rPr>
          <w:rFonts w:ascii="Calibri" w:hAnsi="Calibri" w:eastAsia="Calibri"/>
          <w:b/>
          <w:i w:val="0"/>
          <w:color w:val="1E2761"/>
          <w:sz w:val="24"/>
        </w:rPr>
        <w:t xml:space="preserve">Course:  </w:t>
      </w:r>
      <w:r>
        <w:rPr>
          <w:rFonts w:ascii="Calibri" w:hAnsi="Calibri" w:eastAsia="Calibri"/>
          <w:b w:val="0"/>
          <w:i w:val="0"/>
          <w:sz w:val="24"/>
        </w:rPr>
        <w:t>Applied Research Project Capstone</w:t>
      </w:r>
    </w:p>
    <w:p>
      <w:pPr>
        <w:jc w:val="center"/>
      </w:pPr>
      <w:r>
        <w:rPr>
          <w:rFonts w:ascii="Calibri" w:hAnsi="Calibri" w:eastAsia="Calibri"/>
          <w:b/>
          <w:i w:val="0"/>
          <w:color w:val="1E2761"/>
          <w:sz w:val="24"/>
        </w:rPr>
        <w:t xml:space="preserve">Date:  </w:t>
      </w:r>
      <w:r>
        <w:rPr>
          <w:rFonts w:ascii="Calibri" w:hAnsi="Calibri" w:eastAsia="Calibri"/>
          <w:b w:val="0"/>
          <w:i w:val="0"/>
          <w:sz w:val="24"/>
        </w:rPr>
        <w:t>April 2026</w:t>
      </w:r>
    </w:p>
    <w:p>
      <w:r>
        <w:br w:type="page"/>
      </w:r>
    </w:p>
    <w:p>
      <w:pPr>
        <w:keepNext/>
        <w:spacing w:before="280" w:after="120"/>
      </w:pPr>
      <w:r>
        <w:rPr>
          <w:rFonts w:ascii="Calibri" w:hAnsi="Calibri" w:eastAsia="Calibri"/>
          <w:b/>
          <w:i w:val="0"/>
          <w:color w:val="1E2761"/>
          <w:sz w:val="32"/>
        </w:rPr>
        <w:t>Table of Contents</w:t>
      </w:r>
    </w:p>
    <w:p>
      <w:pPr>
        <w:tabs>
          <w:tab w:pos="9072" w:val="right" w:leader="hyphen"/>
        </w:tabs>
        <w:spacing w:after="40"/>
      </w:pPr>
      <w:r>
        <w:rPr>
          <w:rFonts w:ascii="Calibri" w:hAnsi="Calibri" w:eastAsia="Calibri"/>
          <w:b w:val="0"/>
          <w:i w:val="0"/>
          <w:sz w:val="22"/>
        </w:rPr>
        <w:t>Abstract</w:t>
        <w:tab/>
        <w:t>3</w:t>
      </w:r>
    </w:p>
    <w:p>
      <w:pPr>
        <w:tabs>
          <w:tab w:pos="9072" w:val="right" w:leader="hyphen"/>
        </w:tabs>
        <w:spacing w:after="40"/>
      </w:pPr>
      <w:r>
        <w:rPr>
          <w:rFonts w:ascii="Calibri" w:hAnsi="Calibri" w:eastAsia="Calibri"/>
          <w:b w:val="0"/>
          <w:i w:val="0"/>
          <w:sz w:val="22"/>
        </w:rPr>
        <w:t>1.  Introduction / Business Problem</w:t>
        <w:tab/>
        <w:t>4</w:t>
      </w:r>
    </w:p>
    <w:p>
      <w:pPr>
        <w:tabs>
          <w:tab w:pos="9072" w:val="right" w:leader="hyphen"/>
        </w:tabs>
        <w:spacing w:after="40"/>
      </w:pPr>
      <w:r>
        <w:rPr>
          <w:rFonts w:ascii="Calibri" w:hAnsi="Calibri" w:eastAsia="Calibri"/>
          <w:b w:val="0"/>
          <w:i w:val="0"/>
          <w:sz w:val="22"/>
        </w:rPr>
        <w:t>2.  Related Work</w:t>
        <w:tab/>
        <w:t>5</w:t>
      </w:r>
    </w:p>
    <w:p>
      <w:pPr>
        <w:tabs>
          <w:tab w:pos="9072" w:val="right" w:leader="hyphen"/>
        </w:tabs>
        <w:spacing w:after="40"/>
      </w:pPr>
      <w:r>
        <w:rPr>
          <w:rFonts w:ascii="Calibri" w:hAnsi="Calibri" w:eastAsia="Calibri"/>
          <w:b w:val="0"/>
          <w:i w:val="0"/>
          <w:sz w:val="22"/>
        </w:rPr>
        <w:t xml:space="preserve">    2.1  Search-Oriented E-Commerce Platforms</w:t>
        <w:tab/>
        <w:t>5</w:t>
      </w:r>
    </w:p>
    <w:p>
      <w:pPr>
        <w:tabs>
          <w:tab w:pos="9072" w:val="right" w:leader="hyphen"/>
        </w:tabs>
        <w:spacing w:after="40"/>
      </w:pPr>
      <w:r>
        <w:rPr>
          <w:rFonts w:ascii="Calibri" w:hAnsi="Calibri" w:eastAsia="Calibri"/>
          <w:b w:val="0"/>
          <w:i w:val="0"/>
          <w:sz w:val="22"/>
        </w:rPr>
        <w:t xml:space="preserve">    2.2  Conversational Shopping Assistants</w:t>
        <w:tab/>
        <w:t>5</w:t>
      </w:r>
    </w:p>
    <w:p>
      <w:pPr>
        <w:tabs>
          <w:tab w:pos="9072" w:val="right" w:leader="hyphen"/>
        </w:tabs>
        <w:spacing w:after="40"/>
      </w:pPr>
      <w:r>
        <w:rPr>
          <w:rFonts w:ascii="Calibri" w:hAnsi="Calibri" w:eastAsia="Calibri"/>
          <w:b w:val="0"/>
          <w:i w:val="0"/>
          <w:sz w:val="22"/>
        </w:rPr>
        <w:t xml:space="preserve">    2.3  AI-Powered Answer Engines</w:t>
        <w:tab/>
        <w:t>6</w:t>
      </w:r>
    </w:p>
    <w:p>
      <w:pPr>
        <w:tabs>
          <w:tab w:pos="9072" w:val="right" w:leader="hyphen"/>
        </w:tabs>
        <w:spacing w:after="40"/>
      </w:pPr>
      <w:r>
        <w:rPr>
          <w:rFonts w:ascii="Calibri" w:hAnsi="Calibri" w:eastAsia="Calibri"/>
          <w:b w:val="0"/>
          <w:i w:val="0"/>
          <w:sz w:val="22"/>
        </w:rPr>
        <w:t xml:space="preserve">    2.4  Recommender Systems and Explainability</w:t>
        <w:tab/>
        <w:t>6</w:t>
      </w:r>
    </w:p>
    <w:p>
      <w:pPr>
        <w:tabs>
          <w:tab w:pos="9072" w:val="right" w:leader="hyphen"/>
        </w:tabs>
        <w:spacing w:after="40"/>
      </w:pPr>
      <w:r>
        <w:rPr>
          <w:rFonts w:ascii="Calibri" w:hAnsi="Calibri" w:eastAsia="Calibri"/>
          <w:b w:val="0"/>
          <w:i w:val="0"/>
          <w:sz w:val="22"/>
        </w:rPr>
        <w:t>3.  Data Description</w:t>
        <w:tab/>
        <w:t>7</w:t>
      </w:r>
    </w:p>
    <w:p>
      <w:pPr>
        <w:tabs>
          <w:tab w:pos="9072" w:val="right" w:leader="hyphen"/>
        </w:tabs>
        <w:spacing w:after="40"/>
      </w:pPr>
      <w:r>
        <w:rPr>
          <w:rFonts w:ascii="Calibri" w:hAnsi="Calibri" w:eastAsia="Calibri"/>
          <w:b w:val="0"/>
          <w:i w:val="0"/>
          <w:sz w:val="22"/>
        </w:rPr>
        <w:t xml:space="preserve">    3.1  Data Sources</w:t>
        <w:tab/>
        <w:t>7</w:t>
      </w:r>
    </w:p>
    <w:p>
      <w:pPr>
        <w:tabs>
          <w:tab w:pos="9072" w:val="right" w:leader="hyphen"/>
        </w:tabs>
        <w:spacing w:after="40"/>
      </w:pPr>
      <w:r>
        <w:rPr>
          <w:rFonts w:ascii="Calibri" w:hAnsi="Calibri" w:eastAsia="Calibri"/>
          <w:b w:val="0"/>
          <w:i w:val="0"/>
          <w:sz w:val="22"/>
        </w:rPr>
        <w:t xml:space="preserve">    3.2  Data Characteristics</w:t>
        <w:tab/>
        <w:t>7</w:t>
      </w:r>
    </w:p>
    <w:p>
      <w:pPr>
        <w:tabs>
          <w:tab w:pos="9072" w:val="right" w:leader="hyphen"/>
        </w:tabs>
        <w:spacing w:after="40"/>
      </w:pPr>
      <w:r>
        <w:rPr>
          <w:rFonts w:ascii="Calibri" w:hAnsi="Calibri" w:eastAsia="Calibri"/>
          <w:b w:val="0"/>
          <w:i w:val="0"/>
          <w:sz w:val="22"/>
        </w:rPr>
        <w:t xml:space="preserve">    3.3  Decision-Relevant Features</w:t>
        <w:tab/>
        <w:t>8</w:t>
      </w:r>
    </w:p>
    <w:p>
      <w:pPr>
        <w:tabs>
          <w:tab w:pos="9072" w:val="right" w:leader="hyphen"/>
        </w:tabs>
        <w:spacing w:after="40"/>
      </w:pPr>
      <w:r>
        <w:rPr>
          <w:rFonts w:ascii="Calibri" w:hAnsi="Calibri" w:eastAsia="Calibri"/>
          <w:b w:val="0"/>
          <w:i w:val="0"/>
          <w:sz w:val="22"/>
        </w:rPr>
        <w:t xml:space="preserve">    3.4  Limitations</w:t>
        <w:tab/>
        <w:t>8</w:t>
      </w:r>
    </w:p>
    <w:p>
      <w:pPr>
        <w:tabs>
          <w:tab w:pos="9072" w:val="right" w:leader="hyphen"/>
        </w:tabs>
        <w:spacing w:after="40"/>
      </w:pPr>
      <w:r>
        <w:rPr>
          <w:rFonts w:ascii="Calibri" w:hAnsi="Calibri" w:eastAsia="Calibri"/>
          <w:b w:val="0"/>
          <w:i w:val="0"/>
          <w:sz w:val="22"/>
        </w:rPr>
        <w:t>4.  Models</w:t>
        <w:tab/>
        <w:t>9</w:t>
      </w:r>
    </w:p>
    <w:p>
      <w:pPr>
        <w:tabs>
          <w:tab w:pos="9072" w:val="right" w:leader="hyphen"/>
        </w:tabs>
        <w:spacing w:after="40"/>
      </w:pPr>
      <w:r>
        <w:rPr>
          <w:rFonts w:ascii="Calibri" w:hAnsi="Calibri" w:eastAsia="Calibri"/>
          <w:b w:val="0"/>
          <w:i w:val="0"/>
          <w:sz w:val="22"/>
        </w:rPr>
        <w:t xml:space="preserve">    4.1  Architecture and the Trust Boundary</w:t>
        <w:tab/>
        <w:t>9</w:t>
      </w:r>
    </w:p>
    <w:p>
      <w:pPr>
        <w:tabs>
          <w:tab w:pos="9072" w:val="right" w:leader="hyphen"/>
        </w:tabs>
        <w:spacing w:after="40"/>
      </w:pPr>
      <w:r>
        <w:rPr>
          <w:rFonts w:ascii="Calibri" w:hAnsi="Calibri" w:eastAsia="Calibri"/>
          <w:b w:val="0"/>
          <w:i w:val="0"/>
          <w:sz w:val="22"/>
        </w:rPr>
        <w:t xml:space="preserve">    4.2  ETL Pipeline</w:t>
        <w:tab/>
        <w:t>10</w:t>
      </w:r>
    </w:p>
    <w:p>
      <w:pPr>
        <w:tabs>
          <w:tab w:pos="9072" w:val="right" w:leader="hyphen"/>
        </w:tabs>
        <w:spacing w:after="40"/>
      </w:pPr>
      <w:r>
        <w:rPr>
          <w:rFonts w:ascii="Calibri" w:hAnsi="Calibri" w:eastAsia="Calibri"/>
          <w:b w:val="0"/>
          <w:i w:val="0"/>
          <w:sz w:val="22"/>
        </w:rPr>
        <w:t xml:space="preserve">    4.3  Dimensional Model</w:t>
        <w:tab/>
        <w:t>11</w:t>
      </w:r>
    </w:p>
    <w:p>
      <w:pPr>
        <w:tabs>
          <w:tab w:pos="9072" w:val="right" w:leader="hyphen"/>
        </w:tabs>
        <w:spacing w:after="40"/>
      </w:pPr>
      <w:r>
        <w:rPr>
          <w:rFonts w:ascii="Calibri" w:hAnsi="Calibri" w:eastAsia="Calibri"/>
          <w:b w:val="0"/>
          <w:i w:val="0"/>
          <w:sz w:val="22"/>
        </w:rPr>
        <w:t xml:space="preserve">    4.4  Ranking and Decision Logic</w:t>
        <w:tab/>
        <w:t>12</w:t>
      </w:r>
    </w:p>
    <w:p>
      <w:pPr>
        <w:tabs>
          <w:tab w:pos="9072" w:val="right" w:leader="hyphen"/>
        </w:tabs>
        <w:spacing w:after="40"/>
      </w:pPr>
      <w:r>
        <w:rPr>
          <w:rFonts w:ascii="Calibri" w:hAnsi="Calibri" w:eastAsia="Calibri"/>
          <w:b w:val="0"/>
          <w:i w:val="0"/>
          <w:sz w:val="22"/>
        </w:rPr>
        <w:t xml:space="preserve">    4.5  Explainability Layer</w:t>
        <w:tab/>
        <w:t>13</w:t>
      </w:r>
    </w:p>
    <w:p>
      <w:pPr>
        <w:tabs>
          <w:tab w:pos="9072" w:val="right" w:leader="hyphen"/>
        </w:tabs>
        <w:spacing w:after="40"/>
      </w:pPr>
      <w:r>
        <w:rPr>
          <w:rFonts w:ascii="Calibri" w:hAnsi="Calibri" w:eastAsia="Calibri"/>
          <w:b w:val="0"/>
          <w:i w:val="0"/>
          <w:sz w:val="22"/>
        </w:rPr>
        <w:t xml:space="preserve">    4.6  Visualization and Five-Scene UI</w:t>
        <w:tab/>
        <w:t>14</w:t>
      </w:r>
    </w:p>
    <w:p>
      <w:pPr>
        <w:tabs>
          <w:tab w:pos="9072" w:val="right" w:leader="hyphen"/>
        </w:tabs>
        <w:spacing w:after="40"/>
      </w:pPr>
      <w:r>
        <w:rPr>
          <w:rFonts w:ascii="Calibri" w:hAnsi="Calibri" w:eastAsia="Calibri"/>
          <w:b w:val="0"/>
          <w:i w:val="0"/>
          <w:sz w:val="22"/>
        </w:rPr>
        <w:t xml:space="preserve">    4.7  Preference Continuity Across Turns</w:t>
        <w:tab/>
        <w:t>14</w:t>
      </w:r>
    </w:p>
    <w:p>
      <w:pPr>
        <w:tabs>
          <w:tab w:pos="9072" w:val="right" w:leader="hyphen"/>
        </w:tabs>
        <w:spacing w:after="40"/>
      </w:pPr>
      <w:r>
        <w:rPr>
          <w:rFonts w:ascii="Calibri" w:hAnsi="Calibri" w:eastAsia="Calibri"/>
          <w:b w:val="0"/>
          <w:i w:val="0"/>
          <w:sz w:val="22"/>
        </w:rPr>
        <w:t xml:space="preserve">    4.8  Personalised Lifecycle Layer</w:t>
        <w:tab/>
        <w:t>15</w:t>
      </w:r>
    </w:p>
    <w:p>
      <w:pPr>
        <w:tabs>
          <w:tab w:pos="9072" w:val="right" w:leader="hyphen"/>
        </w:tabs>
        <w:spacing w:after="40"/>
      </w:pPr>
      <w:r>
        <w:rPr>
          <w:rFonts w:ascii="Calibri" w:hAnsi="Calibri" w:eastAsia="Calibri"/>
          <w:b w:val="0"/>
          <w:i w:val="0"/>
          <w:sz w:val="22"/>
        </w:rPr>
        <w:t>5.  Results</w:t>
        <w:tab/>
        <w:t>16</w:t>
      </w:r>
    </w:p>
    <w:p>
      <w:pPr>
        <w:tabs>
          <w:tab w:pos="9072" w:val="right" w:leader="hyphen"/>
        </w:tabs>
        <w:spacing w:after="40"/>
      </w:pPr>
      <w:r>
        <w:rPr>
          <w:rFonts w:ascii="Calibri" w:hAnsi="Calibri" w:eastAsia="Calibri"/>
          <w:b w:val="0"/>
          <w:i w:val="0"/>
          <w:sz w:val="22"/>
        </w:rPr>
        <w:t xml:space="preserve">    5.1  Scenario-Based Evaluation</w:t>
        <w:tab/>
        <w:t>16</w:t>
      </w:r>
    </w:p>
    <w:p>
      <w:pPr>
        <w:tabs>
          <w:tab w:pos="9072" w:val="right" w:leader="hyphen"/>
        </w:tabs>
        <w:spacing w:after="40"/>
      </w:pPr>
      <w:r>
        <w:rPr>
          <w:rFonts w:ascii="Calibri" w:hAnsi="Calibri" w:eastAsia="Calibri"/>
          <w:b w:val="0"/>
          <w:i w:val="0"/>
          <w:sz w:val="22"/>
        </w:rPr>
        <w:t xml:space="preserve">    5.2  Comparison Against Baselines</w:t>
        <w:tab/>
        <w:t>17</w:t>
      </w:r>
    </w:p>
    <w:p>
      <w:pPr>
        <w:tabs>
          <w:tab w:pos="9072" w:val="right" w:leader="hyphen"/>
        </w:tabs>
        <w:spacing w:after="40"/>
      </w:pPr>
      <w:r>
        <w:rPr>
          <w:rFonts w:ascii="Calibri" w:hAnsi="Calibri" w:eastAsia="Calibri"/>
          <w:b w:val="0"/>
          <w:i w:val="0"/>
          <w:sz w:val="22"/>
        </w:rPr>
        <w:t xml:space="preserve">    5.3  Behavioural Observations</w:t>
        <w:tab/>
        <w:t>18</w:t>
      </w:r>
    </w:p>
    <w:p>
      <w:pPr>
        <w:tabs>
          <w:tab w:pos="9072" w:val="right" w:leader="hyphen"/>
        </w:tabs>
        <w:spacing w:after="40"/>
      </w:pPr>
      <w:r>
        <w:rPr>
          <w:rFonts w:ascii="Calibri" w:hAnsi="Calibri" w:eastAsia="Calibri"/>
          <w:b w:val="0"/>
          <w:i w:val="0"/>
          <w:sz w:val="22"/>
        </w:rPr>
        <w:t>6.  Conclusions and Impact</w:t>
        <w:tab/>
        <w:t>19</w:t>
      </w:r>
    </w:p>
    <w:p>
      <w:pPr>
        <w:tabs>
          <w:tab w:pos="9072" w:val="right" w:leader="hyphen"/>
        </w:tabs>
        <w:spacing w:after="40"/>
      </w:pPr>
      <w:r>
        <w:rPr>
          <w:rFonts w:ascii="Calibri" w:hAnsi="Calibri" w:eastAsia="Calibri"/>
          <w:b w:val="0"/>
          <w:i w:val="0"/>
          <w:sz w:val="22"/>
        </w:rPr>
        <w:t>7.  Contributions</w:t>
        <w:tab/>
        <w:t>20</w:t>
      </w:r>
    </w:p>
    <w:p>
      <w:pPr>
        <w:tabs>
          <w:tab w:pos="9072" w:val="right" w:leader="hyphen"/>
        </w:tabs>
        <w:spacing w:after="40"/>
      </w:pPr>
      <w:r>
        <w:rPr>
          <w:rFonts w:ascii="Calibri" w:hAnsi="Calibri" w:eastAsia="Calibri"/>
          <w:b w:val="0"/>
          <w:i w:val="0"/>
          <w:sz w:val="22"/>
        </w:rPr>
        <w:t xml:space="preserve">    7.1  Team Members</w:t>
        <w:tab/>
        <w:t>20</w:t>
      </w:r>
    </w:p>
    <w:p>
      <w:pPr>
        <w:tabs>
          <w:tab w:pos="9072" w:val="right" w:leader="hyphen"/>
        </w:tabs>
        <w:spacing w:after="40"/>
      </w:pPr>
      <w:r>
        <w:rPr>
          <w:rFonts w:ascii="Calibri" w:hAnsi="Calibri" w:eastAsia="Calibri"/>
          <w:b w:val="0"/>
          <w:i w:val="0"/>
          <w:sz w:val="22"/>
        </w:rPr>
        <w:t xml:space="preserve">    7.2  AI Tool Contributions</w:t>
        <w:tab/>
        <w:t>20</w:t>
      </w:r>
    </w:p>
    <w:p>
      <w:pPr>
        <w:tabs>
          <w:tab w:pos="9072" w:val="right" w:leader="hyphen"/>
        </w:tabs>
        <w:spacing w:after="40"/>
      </w:pPr>
      <w:r>
        <w:rPr>
          <w:rFonts w:ascii="Calibri" w:hAnsi="Calibri" w:eastAsia="Calibri"/>
          <w:b w:val="0"/>
          <w:i w:val="0"/>
          <w:sz w:val="22"/>
        </w:rPr>
        <w:t>8.  References</w:t>
        <w:tab/>
        <w:t>21</w:t>
      </w:r>
    </w:p>
    <w:p>
      <w:pPr>
        <w:tabs>
          <w:tab w:pos="9072" w:val="right" w:leader="hyphen"/>
        </w:tabs>
        <w:spacing w:after="40"/>
      </w:pPr>
      <w:r>
        <w:rPr>
          <w:rFonts w:ascii="Calibri" w:hAnsi="Calibri" w:eastAsia="Calibri"/>
          <w:b w:val="0"/>
          <w:i w:val="0"/>
          <w:sz w:val="22"/>
        </w:rPr>
        <w:t>9.  Appendix — Code Listings</w:t>
        <w:tab/>
        <w:t>22</w:t>
      </w:r>
    </w:p>
    <w:p>
      <w:r>
        <w:br w:type="page"/>
      </w:r>
    </w:p>
    <w:p>
      <w:pPr>
        <w:keepNext/>
        <w:spacing w:before="280" w:after="120"/>
      </w:pPr>
      <w:r>
        <w:rPr>
          <w:rFonts w:ascii="Calibri" w:hAnsi="Calibri" w:eastAsia="Calibri"/>
          <w:b/>
          <w:i w:val="0"/>
          <w:color w:val="1E2761"/>
          <w:sz w:val="32"/>
        </w:rPr>
        <w:t>Abstract</w:t>
      </w:r>
    </w:p>
    <w:p>
      <w:pPr>
        <w:spacing w:before="0" w:after="160" w:line="240" w:lineRule="auto"/>
        <w:jc w:val="both"/>
      </w:pPr>
      <w:r>
        <w:rPr>
          <w:rFonts w:ascii="Calibri" w:hAnsi="Calibri" w:eastAsia="Calibri"/>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organised around five layers — preference elicitation, decision modelling,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normalises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Google Shopping, and Perplexity.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280" w:after="120"/>
      </w:pPr>
      <w:r>
        <w:rPr>
          <w:rFonts w:ascii="Calibri" w:hAnsi="Calibri" w:eastAsia="Calibri"/>
          <w:b/>
          <w:i w:val="0"/>
          <w:color w:val="1E2761"/>
          <w:sz w:val="32"/>
        </w:rPr>
        <w:t>1.  Introduction / Business Problem</w:t>
      </w:r>
    </w:p>
    <w:p>
      <w:pPr>
        <w:spacing w:before="0" w:after="160" w:line="240" w:lineRule="auto"/>
        <w:jc w:val="both"/>
      </w:pPr>
      <w:r>
        <w:rPr>
          <w:rFonts w:ascii="Calibri" w:hAnsi="Calibri" w:eastAsia="Calibri"/>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Calibri" w:hAnsi="Calibri" w:eastAsia="Calibri"/>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Calibri" w:hAnsi="Calibri" w:eastAsia="Calibri"/>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Calibri" w:hAnsi="Calibri" w:eastAsia="Calibri"/>
          <w:b w:val="0"/>
          <w:i w:val="0"/>
          <w:sz w:val="22"/>
        </w:rPr>
        <w:t>This project addresses the gap. The proposed system integrates five logical layers — preference elicitation, decision modelling, recommendation ranking, explainability, and lifecycle support — into a unified conversational workflow, backed by a real ETL pipeline collecting data from Amazon and Target and a full-stack implementation using React, FastAPI, and Claude (Anthropic, Opus 4.6) as the natural-language layer. Section 4.1 details the organising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r>
        <w:br w:type="page"/>
      </w:r>
    </w:p>
    <w:p>
      <w:pPr>
        <w:keepNext/>
        <w:spacing w:before="280" w:after="120"/>
      </w:pPr>
      <w:r>
        <w:rPr>
          <w:rFonts w:ascii="Calibri" w:hAnsi="Calibri" w:eastAsia="Calibri"/>
          <w:b/>
          <w:i w:val="0"/>
          <w:color w:val="1E2761"/>
          <w:sz w:val="32"/>
        </w:rPr>
        <w:t>2.  Related Work</w:t>
      </w:r>
    </w:p>
    <w:p>
      <w:pPr>
        <w:spacing w:before="0" w:after="160" w:line="240" w:lineRule="auto"/>
        <w:jc w:val="both"/>
      </w:pPr>
      <w:r>
        <w:rPr>
          <w:rFonts w:ascii="Calibri" w:hAnsi="Calibri" w:eastAsia="Calibri"/>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Calibri" w:hAnsi="Calibri" w:eastAsia="Calibri"/>
          <w:b/>
          <w:i w:val="0"/>
          <w:color w:val="1E2761"/>
          <w:sz w:val="26"/>
        </w:rPr>
        <w:t>2.1  Search-Oriented E-Commerce Platforms</w:t>
      </w:r>
    </w:p>
    <w:p>
      <w:pPr>
        <w:spacing w:before="0" w:after="160" w:line="240" w:lineRule="auto"/>
        <w:jc w:val="both"/>
      </w:pPr>
      <w:r>
        <w:rPr>
          <w:rFonts w:ascii="Calibri" w:hAnsi="Calibri" w:eastAsia="Calibri"/>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colour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Calibri" w:hAnsi="Calibri" w:eastAsia="Calibri"/>
          <w:b/>
          <w:i w:val="0"/>
          <w:color w:val="1E2761"/>
          <w:sz w:val="26"/>
        </w:rPr>
        <w:t>2.2  Conversational Shopping Assistants</w:t>
      </w:r>
    </w:p>
    <w:p>
      <w:pPr>
        <w:spacing w:before="0" w:after="160" w:line="240" w:lineRule="auto"/>
        <w:jc w:val="both"/>
      </w:pPr>
      <w:r>
        <w:rPr>
          <w:rFonts w:ascii="Calibri" w:hAnsi="Calibri" w:eastAsia="Calibri"/>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Calibri" w:hAnsi="Calibri" w:eastAsia="Calibri"/>
          <w:b/>
          <w:i w:val="0"/>
          <w:color w:val="1E2761"/>
          <w:sz w:val="26"/>
        </w:rPr>
        <w:t>2.3  AI-Powered Answer Engines</w:t>
      </w:r>
    </w:p>
    <w:p>
      <w:pPr>
        <w:spacing w:before="0" w:after="160" w:line="240" w:lineRule="auto"/>
        <w:jc w:val="both"/>
      </w:pPr>
      <w:r>
        <w:rPr>
          <w:rFonts w:ascii="Calibri" w:hAnsi="Calibri" w:eastAsia="Calibri"/>
          <w:b w:val="0"/>
          <w:i w:val="0"/>
          <w:sz w:val="22"/>
        </w:rPr>
        <w:t>Tools like Perplexity AI excel at generating explanatory text but separate conversational reasoning from shopping workflows [12]. Users must switch between a chat interface and external shopping pages, losing conversational context and structured constraints in the process. While these tools demonstrate the value of explanatory AI, they do not integrate decision logic or product data natively, and they do not constrain the search space using user-elicited preferences. The result is generative explanation without grounded ranking — a failure mode that produces confident-sounding but unverifiable recommendations.</w:t>
      </w:r>
    </w:p>
    <w:p>
      <w:pPr>
        <w:keepNext/>
        <w:spacing w:before="200" w:after="120"/>
      </w:pPr>
      <w:r>
        <w:rPr>
          <w:rFonts w:ascii="Calibri" w:hAnsi="Calibri" w:eastAsia="Calibri"/>
          <w:b/>
          <w:i w:val="0"/>
          <w:color w:val="1E2761"/>
          <w:sz w:val="26"/>
        </w:rPr>
        <w:t>2.4  Recommender Systems and Explainability</w:t>
      </w:r>
    </w:p>
    <w:p>
      <w:pPr>
        <w:spacing w:before="0" w:after="160" w:line="240" w:lineRule="auto"/>
        <w:jc w:val="both"/>
      </w:pPr>
      <w:r>
        <w:rPr>
          <w:rFonts w:ascii="Calibri" w:hAnsi="Calibri" w:eastAsia="Calibri"/>
          <w:b w:val="0"/>
          <w:i w:val="0"/>
          <w:sz w:val="22"/>
        </w:rPr>
        <w:t>Traditional recommender systems focus on predicting user behaviour or preferences using historical data and machine-learning models — collaborative filtering, content-based ranking, matrix factorisation, and most recently transformer-based sequence models [1], [13]. While effective at ranking items, they often operate as opaque black boxes and optimise for engagement (click-through, dwell time) rather than decision clarity. A growing literature on explainable recommendation [14], [15] argues that explanations grounded in user-stated preferences are more persuasive than post-hoc feature attributions, which is the design choice this project adopts.</w:t>
      </w:r>
    </w:p>
    <w:p>
      <w:pPr>
        <w:spacing w:before="0" w:after="160" w:line="240" w:lineRule="auto"/>
        <w:jc w:val="both"/>
      </w:pPr>
      <w:r>
        <w:rPr>
          <w:rFonts w:ascii="Calibri" w:hAnsi="Calibri" w:eastAsia="Calibri"/>
          <w:b w:val="0"/>
          <w:i w:val="0"/>
          <w:sz w:val="22"/>
        </w:rPr>
        <w:t>The structural gap across all four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280" w:after="120"/>
      </w:pPr>
      <w:r>
        <w:rPr>
          <w:rFonts w:ascii="Calibri" w:hAnsi="Calibri" w:eastAsia="Calibri"/>
          <w:b/>
          <w:i w:val="0"/>
          <w:color w:val="1E2761"/>
          <w:sz w:val="32"/>
        </w:rPr>
        <w:t>3.  Data Description</w:t>
      </w:r>
    </w:p>
    <w:p>
      <w:pPr>
        <w:spacing w:before="0" w:after="160" w:line="240" w:lineRule="auto"/>
        <w:jc w:val="both"/>
      </w:pPr>
      <w:r>
        <w:rPr>
          <w:rFonts w:ascii="Calibri" w:hAnsi="Calibri" w:eastAsia="Calibri"/>
          <w:b w:val="0"/>
          <w:i w:val="0"/>
          <w:sz w:val="22"/>
        </w:rPr>
        <w:t>This project constructs a structured product database to support the scenario-based shopping assistant demonstration. The initial scope focuses on three product categories — smart displays, water bottles, and kitchen organisers — selected to represent both high-consideration purchases (smart displays) and everyday household items with meaningful attribute trade-offs.</w:t>
      </w:r>
    </w:p>
    <w:p>
      <w:pPr>
        <w:keepNext/>
        <w:spacing w:before="200" w:after="120"/>
      </w:pPr>
      <w:r>
        <w:rPr>
          <w:rFonts w:ascii="Calibri" w:hAnsi="Calibri" w:eastAsia="Calibri"/>
          <w:b/>
          <w:i w:val="0"/>
          <w:color w:val="1E2761"/>
          <w:sz w:val="26"/>
        </w:rPr>
        <w:t>3.1  Data Sources</w:t>
      </w:r>
    </w:p>
    <w:p>
      <w:pPr>
        <w:spacing w:before="0" w:after="160" w:line="240" w:lineRule="auto"/>
        <w:jc w:val="both"/>
      </w:pPr>
      <w:r>
        <w:rPr>
          <w:rFonts w:ascii="Calibri" w:hAnsi="Calibri" w:eastAsia="Calibri"/>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organisers.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Calibri" w:hAnsi="Calibri" w:eastAsia="Calibri"/>
          <w:b/>
          <w:i w:val="0"/>
          <w:color w:val="1E2761"/>
          <w:sz w:val="26"/>
        </w:rPr>
        <w:t>3.2  Data Characteristics</w:t>
      </w:r>
    </w:p>
    <w:p>
      <w:pPr>
        <w:spacing w:before="0" w:after="160" w:line="240" w:lineRule="auto"/>
        <w:jc w:val="both"/>
      </w:pPr>
      <w:r>
        <w:rPr>
          <w:rFonts w:ascii="Calibri" w:hAnsi="Calibri" w:eastAsia="Calibri"/>
          <w:b w:val="0"/>
          <w:i w:val="0"/>
          <w:sz w:val="22"/>
        </w:rPr>
        <w:t>The final cleaned dataset contains 100 products distributed as shown in Table 1.</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2304"/>
            <w:shd w:val="clear" w:color="auto" w:fill="1E2761"/>
          </w:tcPr>
          <w:p>
            <w:pPr>
              <w:spacing w:before="40" w:after="40"/>
              <w:jc w:val="left"/>
            </w:pPr>
            <w:r/>
            <w:r>
              <w:rPr>
                <w:rFonts w:ascii="Calibri" w:hAnsi="Calibri" w:eastAsia="Calibri"/>
                <w:b/>
                <w:i w:val="0"/>
                <w:color w:val="FFFFFF"/>
                <w:sz w:val="21"/>
              </w:rPr>
              <w:t>Category</w:t>
            </w:r>
          </w:p>
        </w:tc>
        <w:tc>
          <w:tcPr>
            <w:tcW w:type="dxa" w:w="2160"/>
            <w:shd w:val="clear" w:color="auto" w:fill="1E2761"/>
          </w:tcPr>
          <w:p>
            <w:pPr>
              <w:spacing w:before="40" w:after="40"/>
              <w:jc w:val="left"/>
            </w:pPr>
            <w:r/>
            <w:r>
              <w:rPr>
                <w:rFonts w:ascii="Calibri" w:hAnsi="Calibri" w:eastAsia="Calibri"/>
                <w:b/>
                <w:i w:val="0"/>
                <w:color w:val="FFFFFF"/>
                <w:sz w:val="21"/>
              </w:rPr>
              <w:t>Source</w:t>
            </w:r>
          </w:p>
        </w:tc>
        <w:tc>
          <w:tcPr>
            <w:tcW w:type="dxa" w:w="1152"/>
            <w:shd w:val="clear" w:color="auto" w:fill="1E2761"/>
          </w:tcPr>
          <w:p>
            <w:pPr>
              <w:spacing w:before="40" w:after="40"/>
              <w:jc w:val="left"/>
            </w:pPr>
            <w:r/>
            <w:r>
              <w:rPr>
                <w:rFonts w:ascii="Calibri" w:hAnsi="Calibri" w:eastAsia="Calibri"/>
                <w:b/>
                <w:i w:val="0"/>
                <w:color w:val="FFFFFF"/>
                <w:sz w:val="21"/>
              </w:rPr>
              <w:t>Count</w:t>
            </w:r>
          </w:p>
        </w:tc>
        <w:tc>
          <w:tcPr>
            <w:tcW w:type="dxa" w:w="1440"/>
            <w:shd w:val="clear" w:color="auto" w:fill="1E2761"/>
          </w:tcPr>
          <w:p>
            <w:pPr>
              <w:spacing w:before="40" w:after="40"/>
              <w:jc w:val="left"/>
            </w:pPr>
            <w:r/>
            <w:r>
              <w:rPr>
                <w:rFonts w:ascii="Calibri" w:hAnsi="Calibri" w:eastAsia="Calibri"/>
                <w:b/>
                <w:i w:val="0"/>
                <w:color w:val="FFFFFF"/>
                <w:sz w:val="21"/>
              </w:rPr>
              <w:t>Avg. Rating</w:t>
            </w:r>
          </w:p>
        </w:tc>
        <w:tc>
          <w:tcPr>
            <w:tcW w:type="dxa" w:w="1872"/>
            <w:shd w:val="clear" w:color="auto" w:fill="1E2761"/>
          </w:tcPr>
          <w:p>
            <w:pPr>
              <w:spacing w:before="40" w:after="40"/>
              <w:jc w:val="left"/>
            </w:pPr>
            <w:r/>
            <w:r>
              <w:rPr>
                <w:rFonts w:ascii="Calibri" w:hAnsi="Calibri" w:eastAsia="Calibri"/>
                <w:b/>
                <w:i w:val="0"/>
                <w:color w:val="FFFFFF"/>
                <w:sz w:val="21"/>
              </w:rPr>
              <w:t>Price Range</w:t>
            </w:r>
          </w:p>
        </w:tc>
      </w:tr>
      <w:tr>
        <w:tc>
          <w:tcPr>
            <w:tcW w:type="dxa" w:w="2304"/>
          </w:tcPr>
          <w:p>
            <w:pPr>
              <w:spacing w:before="40" w:after="40"/>
              <w:jc w:val="left"/>
            </w:pPr>
            <w:r/>
            <w:r>
              <w:rPr>
                <w:rFonts w:ascii="Calibri" w:hAnsi="Calibri" w:eastAsia="Calibri"/>
                <w:b w:val="0"/>
                <w:i w:val="0"/>
                <w:sz w:val="21"/>
              </w:rPr>
              <w:t>Smart Display</w:t>
            </w:r>
          </w:p>
        </w:tc>
        <w:tc>
          <w:tcPr>
            <w:tcW w:type="dxa" w:w="2160"/>
          </w:tcPr>
          <w:p>
            <w:pPr>
              <w:spacing w:before="40" w:after="40"/>
              <w:jc w:val="left"/>
            </w:pPr>
            <w:r/>
            <w:r>
              <w:rPr>
                <w:rFonts w:ascii="Calibri" w:hAnsi="Calibri" w:eastAsia="Calibri"/>
                <w:b w:val="0"/>
                <w:i w:val="0"/>
                <w:sz w:val="21"/>
              </w:rPr>
              <w:t>Amazon (+ Best Buy)</w:t>
            </w:r>
          </w:p>
        </w:tc>
        <w:tc>
          <w:tcPr>
            <w:tcW w:type="dxa" w:w="1152"/>
          </w:tcPr>
          <w:p>
            <w:pPr>
              <w:spacing w:before="40" w:after="40"/>
              <w:jc w:val="left"/>
            </w:pPr>
            <w:r/>
            <w:r>
              <w:rPr>
                <w:rFonts w:ascii="Calibri" w:hAnsi="Calibri" w:eastAsia="Calibri"/>
                <w:b w:val="0"/>
                <w:i w:val="0"/>
                <w:sz w:val="21"/>
              </w:rPr>
              <w:t>30</w:t>
            </w:r>
          </w:p>
        </w:tc>
        <w:tc>
          <w:tcPr>
            <w:tcW w:type="dxa" w:w="1440"/>
          </w:tcPr>
          <w:p>
            <w:pPr>
              <w:spacing w:before="40" w:after="40"/>
              <w:jc w:val="left"/>
            </w:pPr>
            <w:r/>
            <w:r>
              <w:rPr>
                <w:rFonts w:ascii="Calibri" w:hAnsi="Calibri" w:eastAsia="Calibri"/>
                <w:b w:val="0"/>
                <w:i w:val="0"/>
                <w:sz w:val="21"/>
              </w:rPr>
              <w:t>4.5★</w:t>
            </w:r>
          </w:p>
        </w:tc>
        <w:tc>
          <w:tcPr>
            <w:tcW w:type="dxa" w:w="1872"/>
          </w:tcPr>
          <w:p>
            <w:pPr>
              <w:spacing w:before="40" w:after="40"/>
              <w:jc w:val="left"/>
            </w:pPr>
            <w:r/>
            <w:r>
              <w:rPr>
                <w:rFonts w:ascii="Calibri" w:hAnsi="Calibri" w:eastAsia="Calibri"/>
                <w:b w:val="0"/>
                <w:i w:val="0"/>
                <w:sz w:val="21"/>
              </w:rPr>
              <w:t>$24–$424</w:t>
            </w:r>
          </w:p>
        </w:tc>
      </w:tr>
      <w:tr>
        <w:tc>
          <w:tcPr>
            <w:tcW w:type="dxa" w:w="2304"/>
          </w:tcPr>
          <w:p>
            <w:pPr>
              <w:spacing w:before="40" w:after="40"/>
              <w:jc w:val="left"/>
            </w:pPr>
            <w:r/>
            <w:r>
              <w:rPr>
                <w:rFonts w:ascii="Calibri" w:hAnsi="Calibri" w:eastAsia="Calibri"/>
                <w:b w:val="0"/>
                <w:i w:val="0"/>
                <w:sz w:val="21"/>
              </w:rPr>
              <w:t>Water Bottle</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$5–$45</w:t>
            </w:r>
          </w:p>
        </w:tc>
      </w:tr>
      <w:tr>
        <w:tc>
          <w:tcPr>
            <w:tcW w:type="dxa" w:w="2304"/>
          </w:tcPr>
          <w:p>
            <w:pPr>
              <w:spacing w:before="40" w:after="40"/>
              <w:jc w:val="left"/>
            </w:pPr>
            <w:r/>
            <w:r>
              <w:rPr>
                <w:rFonts w:ascii="Calibri" w:hAnsi="Calibri" w:eastAsia="Calibri"/>
                <w:b w:val="0"/>
                <w:i w:val="0"/>
                <w:sz w:val="21"/>
              </w:rPr>
              <w:t>Kitchen Organiser</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4.8★</w:t>
            </w:r>
          </w:p>
        </w:tc>
        <w:tc>
          <w:tcPr>
            <w:tcW w:type="dxa" w:w="1872"/>
          </w:tcPr>
          <w:p>
            <w:pPr>
              <w:spacing w:before="40" w:after="40"/>
              <w:jc w:val="left"/>
            </w:pPr>
            <w:r/>
            <w:r>
              <w:rPr>
                <w:rFonts w:ascii="Calibri" w:hAnsi="Calibri" w:eastAsia="Calibri"/>
                <w:b w:val="0"/>
                <w:i w:val="0"/>
                <w:sz w:val="21"/>
              </w:rPr>
              <w:t>$2–$45</w:t>
            </w:r>
          </w:p>
        </w:tc>
      </w:tr>
      <w:tr>
        <w:tc>
          <w:tcPr>
            <w:tcW w:type="dxa" w:w="2304"/>
          </w:tcPr>
          <w:p>
            <w:pPr>
              <w:spacing w:before="40" w:after="40"/>
              <w:jc w:val="left"/>
            </w:pPr>
            <w:r/>
            <w:r>
              <w:rPr>
                <w:rFonts w:ascii="Calibri" w:hAnsi="Calibri" w:eastAsia="Calibri"/>
                <w:b w:val="0"/>
                <w:i w:val="0"/>
                <w:sz w:val="21"/>
              </w:rPr>
              <w:t>Total</w:t>
            </w:r>
          </w:p>
        </w:tc>
        <w:tc>
          <w:tcPr>
            <w:tcW w:type="dxa" w:w="216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100</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$2–$424</w:t>
            </w:r>
          </w:p>
        </w:tc>
      </w:tr>
    </w:tbl>
    <w:p>
      <w:pPr>
        <w:spacing w:before="40" w:after="200"/>
        <w:jc w:val="center"/>
      </w:pPr>
      <w:r>
        <w:rPr>
          <w:rFonts w:ascii="Calibri" w:hAnsi="Calibri" w:eastAsia="Calibri"/>
          <w:b w:val="0"/>
          <w:i/>
          <w:color w:val="555566"/>
          <w:sz w:val="20"/>
        </w:rPr>
        <w:t>Table 1: Product dataset composition by category and source.</w:t>
      </w:r>
    </w:p>
    <w:p>
      <w:pPr>
        <w:keepNext/>
        <w:spacing w:before="200" w:after="120"/>
      </w:pPr>
      <w:r>
        <w:rPr>
          <w:rFonts w:ascii="Calibri" w:hAnsi="Calibri" w:eastAsia="Calibri"/>
          <w:b/>
          <w:i w:val="0"/>
          <w:color w:val="1E2761"/>
          <w:sz w:val="26"/>
        </w:rPr>
        <w:t>3.3  Decision-Relevant Features</w:t>
      </w:r>
    </w:p>
    <w:p>
      <w:pPr>
        <w:spacing w:before="0" w:after="160" w:line="240" w:lineRule="auto"/>
        <w:jc w:val="both"/>
      </w:pPr>
      <w:r>
        <w:rPr>
          <w:rFonts w:ascii="Calibri" w:hAnsi="Calibri" w:eastAsia="Calibri"/>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LightGrid-Accent1"/>
        <w:tblW w:type="auto" w:w="0"/>
        <w:jc w:val="center"/>
        <w:tblLook w:firstColumn="1" w:firstRow="1" w:lastColumn="0" w:lastRow="0" w:noHBand="0" w:noVBand="1" w:val="04A0"/>
      </w:tblPr>
      <w:tblGrid>
        <w:gridCol w:w="3024"/>
        <w:gridCol w:w="3024"/>
        <w:gridCol w:w="3024"/>
      </w:tblGrid>
      <w:tr>
        <w:tc>
          <w:tcPr>
            <w:tcW w:type="dxa" w:w="2304"/>
            <w:shd w:val="clear" w:color="auto" w:fill="1E2761"/>
          </w:tcPr>
          <w:p>
            <w:pPr>
              <w:spacing w:before="40" w:after="40"/>
              <w:jc w:val="left"/>
            </w:pPr>
            <w:r/>
            <w:r>
              <w:rPr>
                <w:rFonts w:ascii="Calibri" w:hAnsi="Calibri" w:eastAsia="Calibri"/>
                <w:b/>
                <w:i w:val="0"/>
                <w:color w:val="FFFFFF"/>
                <w:sz w:val="21"/>
              </w:rPr>
              <w:t>Field</w:t>
            </w:r>
          </w:p>
        </w:tc>
        <w:tc>
          <w:tcPr>
            <w:tcW w:type="dxa" w:w="1440"/>
            <w:shd w:val="clear" w:color="auto" w:fill="1E2761"/>
          </w:tcPr>
          <w:p>
            <w:pPr>
              <w:spacing w:before="40" w:after="40"/>
              <w:jc w:val="left"/>
            </w:pPr>
            <w:r/>
            <w:r>
              <w:rPr>
                <w:rFonts w:ascii="Calibri" w:hAnsi="Calibri" w:eastAsia="Calibri"/>
                <w:b/>
                <w:i w:val="0"/>
                <w:color w:val="FFFFFF"/>
                <w:sz w:val="21"/>
              </w:rPr>
              <w:t>Type</w:t>
            </w:r>
          </w:p>
        </w:tc>
        <w:tc>
          <w:tcPr>
            <w:tcW w:type="dxa" w:w="4896"/>
            <w:shd w:val="clear" w:color="auto" w:fill="1E2761"/>
          </w:tcPr>
          <w:p>
            <w:pPr>
              <w:spacing w:before="40" w:after="40"/>
              <w:jc w:val="left"/>
            </w:pPr>
            <w:r/>
            <w:r>
              <w:rPr>
                <w:rFonts w:ascii="Calibri" w:hAnsi="Calibri" w:eastAsia="Calibri"/>
                <w:b/>
                <w:i w:val="0"/>
                <w:color w:val="FFFFFF"/>
                <w:sz w:val="21"/>
              </w:rPr>
              <w:t>Used for</w:t>
            </w:r>
          </w:p>
        </w:tc>
      </w:tr>
      <w:tr>
        <w:tc>
          <w:tcPr>
            <w:tcW w:type="dxa" w:w="2304"/>
          </w:tcPr>
          <w:p>
            <w:pPr>
              <w:spacing w:before="40" w:after="40"/>
              <w:jc w:val="left"/>
            </w:pPr>
            <w:r/>
            <w:r>
              <w:rPr>
                <w:rFonts w:ascii="Calibri" w:hAnsi="Calibri" w:eastAsia="Calibri"/>
                <w:b w:val="0"/>
                <w:i w:val="0"/>
                <w:sz w:val="21"/>
              </w:rPr>
              <w:t>category</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filter &amp; category-specific scoring</w:t>
            </w:r>
          </w:p>
        </w:tc>
      </w:tr>
      <w:tr>
        <w:tc>
          <w:tcPr>
            <w:tcW w:type="dxa" w:w="2304"/>
          </w:tcPr>
          <w:p>
            <w:pPr>
              <w:spacing w:before="40" w:after="40"/>
              <w:jc w:val="left"/>
            </w:pPr>
            <w:r/>
            <w:r>
              <w:rPr>
                <w:rFonts w:ascii="Calibri" w:hAnsi="Calibri" w:eastAsia="Calibri"/>
                <w:b w:val="0"/>
                <w:i w:val="0"/>
                <w:sz w:val="21"/>
              </w:rPr>
              <w:t>title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feature inference, display</w:t>
            </w:r>
          </w:p>
        </w:tc>
      </w:tr>
      <w:tr>
        <w:tc>
          <w:tcPr>
            <w:tcW w:type="dxa" w:w="2304"/>
          </w:tcPr>
          <w:p>
            <w:pPr>
              <w:spacing w:before="40" w:after="40"/>
              <w:jc w:val="left"/>
            </w:pPr>
            <w:r/>
            <w:r>
              <w:rPr>
                <w:rFonts w:ascii="Calibri" w:hAnsi="Calibri" w:eastAsia="Calibri"/>
                <w:b w:val="0"/>
                <w:i w:val="0"/>
                <w:sz w:val="21"/>
              </w:rPr>
              <w:t>price</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filter (price_max), shared scoring</w:t>
            </w:r>
          </w:p>
        </w:tc>
      </w:tr>
      <w:tr>
        <w:tc>
          <w:tcPr>
            <w:tcW w:type="dxa" w:w="2304"/>
          </w:tcPr>
          <w:p>
            <w:pPr>
              <w:spacing w:before="40" w:after="40"/>
              <w:jc w:val="left"/>
            </w:pPr>
            <w:r/>
            <w:r>
              <w:rPr>
                <w:rFonts w:ascii="Calibri" w:hAnsi="Calibri" w:eastAsia="Calibri"/>
                <w:b w:val="0"/>
                <w:i w:val="0"/>
                <w:sz w:val="21"/>
              </w:rPr>
              <w:t>rating</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shared scoring, evidence in explanation</w:t>
            </w:r>
          </w:p>
        </w:tc>
      </w:tr>
      <w:tr>
        <w:tc>
          <w:tcPr>
            <w:tcW w:type="dxa" w:w="2304"/>
          </w:tcPr>
          <w:p>
            <w:pPr>
              <w:spacing w:before="40" w:after="40"/>
              <w:jc w:val="left"/>
            </w:pPr>
            <w:r/>
            <w:r>
              <w:rPr>
                <w:rFonts w:ascii="Calibri" w:hAnsi="Calibri" w:eastAsia="Calibri"/>
                <w:b w:val="0"/>
                <w:i w:val="0"/>
                <w:sz w:val="21"/>
              </w:rPr>
              <w:t>review_count</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tie-break, evidence in explanation</w:t>
            </w:r>
          </w:p>
        </w:tc>
      </w:tr>
      <w:tr>
        <w:tc>
          <w:tcPr>
            <w:tcW w:type="dxa" w:w="2304"/>
          </w:tcPr>
          <w:p>
            <w:pPr>
              <w:spacing w:before="40" w:after="40"/>
              <w:jc w:val="left"/>
            </w:pPr>
            <w:r/>
            <w:r>
              <w:rPr>
                <w:rFonts w:ascii="Calibri" w:hAnsi="Calibri" w:eastAsia="Calibri"/>
                <w:b w:val="0"/>
                <w:i w:val="0"/>
                <w:sz w:val="21"/>
              </w:rPr>
              <w:t>image_url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display only</w:t>
            </w:r>
          </w:p>
        </w:tc>
      </w:tr>
      <w:tr>
        <w:tc>
          <w:tcPr>
            <w:tcW w:type="dxa" w:w="2304"/>
          </w:tcPr>
          <w:p>
            <w:pPr>
              <w:spacing w:before="40" w:after="40"/>
              <w:jc w:val="left"/>
            </w:pPr>
            <w:r/>
            <w:r>
              <w:rPr>
                <w:rFonts w:ascii="Calibri" w:hAnsi="Calibri" w:eastAsia="Calibri"/>
                <w:b w:val="0"/>
                <w:i w:val="0"/>
                <w:sz w:val="21"/>
              </w:rPr>
              <w:t>product_url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deep link to seller's page</w:t>
            </w:r>
          </w:p>
        </w:tc>
      </w:tr>
      <w:tr>
        <w:tc>
          <w:tcPr>
            <w:tcW w:type="dxa" w:w="2304"/>
          </w:tcPr>
          <w:p>
            <w:pPr>
              <w:spacing w:before="40" w:after="40"/>
              <w:jc w:val="left"/>
            </w:pPr>
            <w:r/>
            <w:r>
              <w:rPr>
                <w:rFonts w:ascii="Calibri" w:hAnsi="Calibri" w:eastAsia="Calibri"/>
                <w:b w:val="0"/>
                <w:i w:val="0"/>
                <w:sz w:val="21"/>
              </w:rPr>
              <w:t>arrival_time_days</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filter (delivery_days_max), shared scoring</w:t>
            </w:r>
          </w:p>
        </w:tc>
      </w:tr>
      <w:tr>
        <w:tc>
          <w:tcPr>
            <w:tcW w:type="dxa" w:w="2304"/>
          </w:tcPr>
          <w:p>
            <w:pPr>
              <w:spacing w:before="40" w:after="40"/>
              <w:jc w:val="left"/>
            </w:pPr>
            <w:r/>
            <w:r>
              <w:rPr>
                <w:rFonts w:ascii="Calibri" w:hAnsi="Calibri" w:eastAsia="Calibri"/>
                <w:b w:val="0"/>
                <w:i w:val="0"/>
                <w:sz w:val="21"/>
              </w:rPr>
              <w:t>source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provenance &amp; explanation grounding</w:t>
            </w:r>
          </w:p>
        </w:tc>
      </w:tr>
    </w:tbl>
    <w:p>
      <w:pPr>
        <w:spacing w:before="40" w:after="200"/>
        <w:jc w:val="center"/>
      </w:pPr>
      <w:r>
        <w:rPr>
          <w:rFonts w:ascii="Calibri" w:hAnsi="Calibri" w:eastAsia="Calibri"/>
          <w:b w:val="0"/>
          <w:i/>
          <w:color w:val="555566"/>
          <w:sz w:val="20"/>
        </w:rPr>
        <w:t>Table 2: Product-record schema. Inferred features (insulated, voice_control, …) are derived at scoring time rather than stored as columns.</w:t>
      </w:r>
    </w:p>
    <w:p>
      <w:pPr>
        <w:keepNext/>
        <w:spacing w:before="200" w:after="120"/>
      </w:pPr>
      <w:r>
        <w:rPr>
          <w:rFonts w:ascii="Calibri" w:hAnsi="Calibri" w:eastAsia="Calibri"/>
          <w:b/>
          <w:i w:val="0"/>
          <w:color w:val="1E2761"/>
          <w:sz w:val="26"/>
        </w:rPr>
        <w:t>3.4  Limitations and Provenance</w:t>
      </w:r>
    </w:p>
    <w:p>
      <w:pPr>
        <w:spacing w:before="0" w:after="160" w:line="240" w:lineRule="auto"/>
        <w:jc w:val="both"/>
      </w:pPr>
      <w:r>
        <w:rPr>
          <w:rFonts w:ascii="Calibri" w:hAnsi="Calibri" w:eastAsia="Calibri"/>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synthesised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modelled at all and would require a daily re-scrape to be useful.</w:t>
      </w:r>
    </w:p>
    <w:p>
      <w:r>
        <w:br w:type="page"/>
      </w:r>
    </w:p>
    <w:p>
      <w:pPr>
        <w:keepNext/>
        <w:spacing w:before="280" w:after="120"/>
      </w:pPr>
      <w:r>
        <w:rPr>
          <w:rFonts w:ascii="Calibri" w:hAnsi="Calibri" w:eastAsia="Calibri"/>
          <w:b/>
          <w:i w:val="0"/>
          <w:color w:val="1E2761"/>
          <w:sz w:val="32"/>
        </w:rPr>
        <w:t>4.  Models</w:t>
      </w:r>
    </w:p>
    <w:p>
      <w:pPr>
        <w:keepNext/>
        <w:spacing w:before="200" w:after="120"/>
      </w:pPr>
      <w:r>
        <w:rPr>
          <w:rFonts w:ascii="Calibri" w:hAnsi="Calibri" w:eastAsia="Calibri"/>
          <w:b/>
          <w:i w:val="0"/>
          <w:color w:val="1E2761"/>
          <w:sz w:val="26"/>
        </w:rPr>
        <w:t>4.1  Architecture and the Trust Boundary</w:t>
      </w:r>
    </w:p>
    <w:p>
      <w:pPr>
        <w:spacing w:before="0" w:after="160" w:line="240" w:lineRule="auto"/>
        <w:jc w:val="both"/>
      </w:pPr>
      <w:r>
        <w:rPr>
          <w:rFonts w:ascii="Calibri" w:hAnsi="Calibri" w:eastAsia="Calibri"/>
          <w:b w:val="0"/>
          <w:i w:val="0"/>
          <w:sz w:val="22"/>
        </w:rPr>
        <w:t>The organising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behaviour must remain stable across language-model upgrades. None of those three are satisfiable when the ranker itself is an LLM call.</w:t>
      </w:r>
    </w:p>
    <w:p>
      <w:pPr>
        <w:spacing w:before="0" w:after="160" w:line="240" w:lineRule="auto"/>
        <w:jc w:val="both"/>
      </w:pPr>
      <w:r>
        <w:rPr>
          <w:rFonts w:ascii="Calibri" w:hAnsi="Calibri" w:eastAsia="Calibri"/>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Calibri" w:hAnsi="Calibri" w:eastAsia="Calibri"/>
          <w:b w:val="0"/>
          <w:i w:val="0"/>
          <w:sz w:val="22"/>
        </w:rPr>
        <w:t>Figure 1 shows the resulting end-to-end flow.</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Layer 1 │→│ Layer 2     │→│ Layer 3       │→│ Layer 4       │→│ Layer 5     │</w:t>
      </w:r>
    </w:p>
    <w:p>
      <w:pPr>
        <w:spacing w:before="0" w:after="0"/>
        <w:ind w:left="432"/>
      </w:pPr>
      <w:r>
        <w:rPr>
          <w:rFonts w:ascii="Consolas" w:hAnsi="Consolas" w:eastAsia="Consolas"/>
          <w:sz w:val="18"/>
        </w:rPr>
        <w:t>│ Elicit  │  │ Decision    │  │ Constraint-   │  │ Explain &amp;     │  │ Lifecycle  │</w:t>
      </w:r>
    </w:p>
    <w:p>
      <w:pPr>
        <w:spacing w:before="0" w:after="0"/>
        <w:ind w:left="432"/>
      </w:pPr>
      <w:r>
        <w:rPr>
          <w:rFonts w:ascii="Consolas" w:hAnsi="Consolas" w:eastAsia="Consolas"/>
          <w:sz w:val="18"/>
        </w:rPr>
        <w:t>│ (Claude)│  │ Modeling    │  │ aware Rank    │  │ Trade-offs    │  │ Support    │</w:t>
      </w:r>
    </w:p>
    <w:p>
      <w:pPr>
        <w:spacing w:before="0" w:after="0"/>
        <w:ind w:left="432"/>
      </w:pPr>
      <w:r>
        <w:rPr>
          <w:rFonts w:ascii="Consolas" w:hAnsi="Consolas" w:eastAsia="Consolas"/>
          <w:sz w:val="18"/>
        </w:rPr>
        <w:t>│ vague→  │  │ rules + wts │  │ rule-based    │  │ rules + LLM   │  │ daily use  │</w:t>
      </w:r>
    </w:p>
    <w:p>
      <w:pPr>
        <w:spacing w:before="0" w:after="0"/>
        <w:ind w:left="432"/>
      </w:pPr>
      <w:r>
        <w:rPr>
          <w:rFonts w:ascii="Consolas" w:hAnsi="Consolas" w:eastAsia="Consolas"/>
          <w:sz w:val="18"/>
        </w:rPr>
        <w:t>│ struct. │  │ MCDA        │  │ scorer        │  │ writeup       │  │ scenarios  │</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xml:space="preserve">      Trust boundary: deterministic ranking (4.4) is never an LLM call.</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Figure 1: Five-layer decision-support flow. Boxes 2–3 are deterministic; boxes 1, 4 (writeup), and the lifecycle prompts are LLM-assisted but never on the ranking path.</w:t>
      </w:r>
    </w:p>
    <w:p>
      <w:pPr>
        <w:keepNext/>
        <w:spacing w:before="200" w:after="120"/>
      </w:pPr>
      <w:r>
        <w:rPr>
          <w:rFonts w:ascii="Calibri" w:hAnsi="Calibri" w:eastAsia="Calibri"/>
          <w:b/>
          <w:i w:val="0"/>
          <w:color w:val="1E2761"/>
          <w:sz w:val="26"/>
        </w:rPr>
        <w:t>4.2  ETL Pipeline</w:t>
      </w:r>
    </w:p>
    <w:p>
      <w:pPr>
        <w:spacing w:before="0" w:after="160" w:line="240" w:lineRule="auto"/>
        <w:jc w:val="both"/>
      </w:pPr>
      <w:r>
        <w:rPr>
          <w:rFonts w:ascii="Calibri" w:hAnsi="Calibri" w:eastAsia="Calibri"/>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Calibri" w:hAnsi="Calibri" w:eastAsia="Calibri"/>
          <w:b w:val="0"/>
          <w:i w:val="0"/>
          <w:sz w:val="22"/>
        </w:rPr>
        <w:t>Two design decisions are notable. First, scraping operates with conservative anti-detection: human-like delays of 1.5–4.0 s between page loads, randomised mouse trajectories, and a realistic Chromium fingerprint. Second, normalisation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Calibri" w:hAnsi="Calibri" w:eastAsia="Calibri"/>
          <w:b/>
          <w:i w:val="0"/>
          <w:color w:val="1E2761"/>
          <w:sz w:val="26"/>
        </w:rPr>
        <w:t>4.3  Dimensional Model</w:t>
      </w:r>
    </w:p>
    <w:p>
      <w:pPr>
        <w:spacing w:before="0" w:after="160" w:line="240" w:lineRule="auto"/>
        <w:jc w:val="both"/>
      </w:pPr>
      <w:r>
        <w:rPr>
          <w:rFonts w:ascii="Calibri" w:hAnsi="Calibri" w:eastAsia="Calibri"/>
          <w:b w:val="0"/>
          <w:i w:val="0"/>
          <w:sz w:val="22"/>
        </w:rPr>
        <w:t>Although the demo uses a single normalised JSON file, the same data is conceptually a small star schema (one fact, three dimensions) and would map cleanly to relational storage should the project move to a hosted database.</w:t>
      </w:r>
    </w:p>
    <w:tbl>
      <w:tblPr>
        <w:tblStyle w:val="LightGrid-Accent1"/>
        <w:tblW w:type="auto" w:w="0"/>
        <w:jc w:val="center"/>
        <w:tblLook w:firstColumn="1" w:firstRow="1" w:lastColumn="0" w:lastRow="0" w:noHBand="0" w:noVBand="1" w:val="04A0"/>
      </w:tblPr>
      <w:tblGrid>
        <w:gridCol w:w="3024"/>
        <w:gridCol w:w="3024"/>
        <w:gridCol w:w="3024"/>
      </w:tblGrid>
      <w:tr>
        <w:tc>
          <w:tcPr>
            <w:tcW w:type="dxa" w:w="2592"/>
            <w:shd w:val="clear" w:color="auto" w:fill="1E2761"/>
          </w:tcPr>
          <w:p>
            <w:pPr>
              <w:spacing w:before="40" w:after="40"/>
              <w:jc w:val="left"/>
            </w:pPr>
            <w:r/>
            <w:r>
              <w:rPr>
                <w:rFonts w:ascii="Calibri" w:hAnsi="Calibri" w:eastAsia="Calibri"/>
                <w:b/>
                <w:i w:val="0"/>
                <w:color w:val="FFFFFF"/>
                <w:sz w:val="21"/>
              </w:rPr>
              <w:t>Table</w:t>
            </w:r>
          </w:p>
        </w:tc>
        <w:tc>
          <w:tcPr>
            <w:tcW w:type="dxa" w:w="2880"/>
            <w:shd w:val="clear" w:color="auto" w:fill="1E2761"/>
          </w:tcPr>
          <w:p>
            <w:pPr>
              <w:spacing w:before="40" w:after="40"/>
              <w:jc w:val="left"/>
            </w:pPr>
            <w:r/>
            <w:r>
              <w:rPr>
                <w:rFonts w:ascii="Calibri" w:hAnsi="Calibri" w:eastAsia="Calibri"/>
                <w:b/>
                <w:i w:val="0"/>
                <w:color w:val="FFFFFF"/>
                <w:sz w:val="21"/>
              </w:rPr>
              <w:t>Grain</w:t>
            </w:r>
          </w:p>
        </w:tc>
        <w:tc>
          <w:tcPr>
            <w:tcW w:type="dxa" w:w="3168"/>
            <w:shd w:val="clear" w:color="auto" w:fill="1E2761"/>
          </w:tcPr>
          <w:p>
            <w:pPr>
              <w:spacing w:before="40" w:after="40"/>
              <w:jc w:val="left"/>
            </w:pPr>
            <w:r/>
            <w:r>
              <w:rPr>
                <w:rFonts w:ascii="Calibri" w:hAnsi="Calibri" w:eastAsia="Calibri"/>
                <w:b/>
                <w:i w:val="0"/>
                <w:color w:val="FFFFFF"/>
                <w:sz w:val="21"/>
              </w:rPr>
              <w:t>Key columns</w:t>
            </w:r>
          </w:p>
        </w:tc>
      </w:tr>
      <w:tr>
        <w:tc>
          <w:tcPr>
            <w:tcW w:type="dxa" w:w="2592"/>
          </w:tcPr>
          <w:p>
            <w:pPr>
              <w:spacing w:before="40" w:after="40"/>
              <w:jc w:val="left"/>
            </w:pPr>
            <w:r/>
            <w:r>
              <w:rPr>
                <w:rFonts w:ascii="Calibri" w:hAnsi="Calibri" w:eastAsia="Calibri"/>
                <w:b w:val="0"/>
                <w:i w:val="0"/>
                <w:sz w:val="21"/>
              </w:rPr>
              <w:t>fact_offer</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source, price, delivery_days</w:t>
            </w:r>
          </w:p>
        </w:tc>
      </w:tr>
      <w:tr>
        <w:tc>
          <w:tcPr>
            <w:tcW w:type="dxa" w:w="2592"/>
          </w:tcPr>
          <w:p>
            <w:pPr>
              <w:spacing w:before="40" w:after="40"/>
              <w:jc w:val="left"/>
            </w:pPr>
            <w:r/>
            <w:r>
              <w:rPr>
                <w:rFonts w:ascii="Calibri" w:hAnsi="Calibri" w:eastAsia="Calibri"/>
                <w:b w:val="0"/>
                <w:i w:val="0"/>
                <w:sz w:val="21"/>
              </w:rPr>
              <w:t>dim_product</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title, category, image_url, product_url</w:t>
            </w:r>
          </w:p>
        </w:tc>
      </w:tr>
      <w:tr>
        <w:tc>
          <w:tcPr>
            <w:tcW w:type="dxa" w:w="2592"/>
          </w:tcPr>
          <w:p>
            <w:pPr>
              <w:spacing w:before="40" w:after="40"/>
              <w:jc w:val="left"/>
            </w:pPr>
            <w:r/>
            <w:r>
              <w:rPr>
                <w:rFonts w:ascii="Calibri" w:hAnsi="Calibri" w:eastAsia="Calibri"/>
                <w:b w:val="0"/>
                <w:i w:val="0"/>
                <w:sz w:val="21"/>
              </w:rPr>
              <w:t>dim_review_signal</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rating_avg, review_count</w:t>
            </w:r>
          </w:p>
        </w:tc>
      </w:tr>
      <w:tr>
        <w:tc>
          <w:tcPr>
            <w:tcW w:type="dxa" w:w="2592"/>
          </w:tcPr>
          <w:p>
            <w:pPr>
              <w:spacing w:before="40" w:after="40"/>
              <w:jc w:val="left"/>
            </w:pPr>
            <w:r/>
            <w:r>
              <w:rPr>
                <w:rFonts w:ascii="Calibri" w:hAnsi="Calibri" w:eastAsia="Calibri"/>
                <w:b w:val="0"/>
                <w:i w:val="0"/>
                <w:sz w:val="21"/>
              </w:rPr>
              <w:t>dim_session</w:t>
            </w:r>
          </w:p>
        </w:tc>
        <w:tc>
          <w:tcPr>
            <w:tcW w:type="dxa" w:w="2880"/>
          </w:tcPr>
          <w:p>
            <w:pPr>
              <w:spacing w:before="40" w:after="40"/>
              <w:jc w:val="left"/>
            </w:pPr>
            <w:r/>
            <w:r>
              <w:rPr>
                <w:rFonts w:ascii="Calibri" w:hAnsi="Calibri" w:eastAsia="Calibri"/>
                <w:b w:val="0"/>
                <w:i w:val="0"/>
                <w:sz w:val="21"/>
              </w:rPr>
              <w:t>one row per user session</w:t>
            </w:r>
          </w:p>
        </w:tc>
        <w:tc>
          <w:tcPr>
            <w:tcW w:type="dxa" w:w="3168"/>
          </w:tcPr>
          <w:p>
            <w:pPr>
              <w:spacing w:before="40" w:after="40"/>
              <w:jc w:val="left"/>
            </w:pPr>
            <w:r/>
            <w:r>
              <w:rPr>
                <w:rFonts w:ascii="Calibri" w:hAnsi="Calibri" w:eastAsia="Calibri"/>
                <w:b w:val="0"/>
                <w:i w:val="0"/>
                <w:sz w:val="21"/>
              </w:rPr>
              <w:t>session_id, raw_input, category, preferences (JSON)</w:t>
            </w:r>
          </w:p>
        </w:tc>
      </w:tr>
    </w:tbl>
    <w:p>
      <w:pPr>
        <w:spacing w:before="40" w:after="200"/>
        <w:jc w:val="center"/>
      </w:pPr>
      <w:r>
        <w:rPr>
          <w:rFonts w:ascii="Calibri" w:hAnsi="Calibri" w:eastAsia="Calibri"/>
          <w:b w:val="0"/>
          <w:i/>
          <w:color w:val="555566"/>
          <w:sz w:val="20"/>
        </w:rPr>
        <w:t>Table 3: Conceptual star schema. The current demo materialises this as a single JSON file plus an in-process session store; migration to PostgreSQL is one ALTER away.</w:t>
      </w:r>
    </w:p>
    <w:p>
      <w:pPr>
        <w:keepNext/>
        <w:spacing w:before="200" w:after="120"/>
      </w:pPr>
      <w:r>
        <w:rPr>
          <w:rFonts w:ascii="Calibri" w:hAnsi="Calibri" w:eastAsia="Calibri"/>
          <w:b/>
          <w:i w:val="0"/>
          <w:color w:val="1E2761"/>
          <w:sz w:val="26"/>
        </w:rPr>
        <w:t>4.4  Ranking and Decision Logic</w:t>
      </w:r>
    </w:p>
    <w:p>
      <w:pPr>
        <w:spacing w:before="0" w:after="160" w:line="240" w:lineRule="auto"/>
        <w:jc w:val="both"/>
      </w:pPr>
      <w:r>
        <w:rPr>
          <w:rFonts w:ascii="Calibri" w:hAnsi="Calibri" w:eastAsia="Calibri"/>
          <w:b w:val="0"/>
          <w:i w:val="0"/>
          <w:sz w:val="22"/>
        </w:rPr>
        <w:t>The ranker (in `recommendation_Algorithem/recommendation_engine_refactored.py`) implements a six-step pipeline:</w:t>
      </w:r>
    </w:p>
    <w:p>
      <w:pPr>
        <w:pStyle w:val="ListBullet"/>
        <w:spacing w:after="60"/>
        <w:ind w:left="432"/>
      </w:pPr>
      <w:r>
        <w:rPr>
          <w:rFonts w:ascii="Calibri" w:hAnsi="Calibri" w:eastAsia="Calibri"/>
          <w:b w:val="0"/>
          <w:i w:val="0"/>
          <w:sz w:val="22"/>
        </w:rPr>
        <w:t>(1) Load the canonical JSON; (2) filter by hard constraints (category, price_max, delivery_days_max);</w:t>
      </w:r>
    </w:p>
    <w:p>
      <w:pPr>
        <w:pStyle w:val="ListBullet"/>
        <w:spacing w:after="60"/>
        <w:ind w:left="432"/>
      </w:pPr>
      <w:r>
        <w:rPr>
          <w:rFonts w:ascii="Calibri" w:hAnsi="Calibri" w:eastAsia="Calibri"/>
          <w:b w:val="0"/>
          <w:i w:val="0"/>
          <w:sz w:val="22"/>
        </w:rPr>
        <w:t>(3) compute a pool-normalised shared score combining price, rating, and delivery, weighted by the user's selected priority (balanced / budget / quality / fast_delivery);</w:t>
      </w:r>
    </w:p>
    <w:p>
      <w:pPr>
        <w:pStyle w:val="ListBullet"/>
        <w:spacing w:after="60"/>
        <w:ind w:left="432"/>
      </w:pPr>
      <w:r>
        <w:rPr>
          <w:rFonts w:ascii="Calibri" w:hAnsi="Calibri" w:eastAsia="Calibri"/>
          <w:b w:val="0"/>
          <w:i w:val="0"/>
          <w:sz w:val="22"/>
        </w:rPr>
        <w:t>(4) apply category-specific rules that reward matched features and soft-penalise missing user-requested ones;</w:t>
      </w:r>
    </w:p>
    <w:p>
      <w:pPr>
        <w:pStyle w:val="ListBullet"/>
        <w:spacing w:after="60"/>
        <w:ind w:left="432"/>
      </w:pPr>
      <w:r>
        <w:rPr>
          <w:rFonts w:ascii="Calibri" w:hAnsi="Calibri" w:eastAsia="Calibri"/>
          <w:b w:val="0"/>
          <w:i w:val="0"/>
          <w:sz w:val="22"/>
        </w:rPr>
        <w:t>(5) rank products by combined score and return the top N;</w:t>
      </w:r>
    </w:p>
    <w:p>
      <w:pPr>
        <w:pStyle w:val="ListBullet"/>
        <w:spacing w:after="60"/>
        <w:ind w:left="432"/>
      </w:pPr>
      <w:r>
        <w:rPr>
          <w:rFonts w:ascii="Calibri" w:hAnsi="Calibri" w:eastAsia="Calibri"/>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Calibri" w:hAnsi="Calibri" w:eastAsia="Calibri"/>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Equation 1: Shared score. norm(·) min-max normalises within the candidate pool. Missing delivery contributes a neutral 0.5 (rather than 0 or 1) so absent data does not bias ranking.</w:t>
      </w:r>
    </w:p>
    <w:p>
      <w:pPr>
        <w:spacing w:before="0" w:after="160" w:line="240" w:lineRule="auto"/>
        <w:jc w:val="both"/>
      </w:pPr>
      <w:r>
        <w:rPr>
          <w:rFonts w:ascii="Calibri" w:hAnsi="Calibri" w:eastAsia="Calibri"/>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4.</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304"/>
            <w:shd w:val="clear" w:color="auto" w:fill="1E2761"/>
          </w:tcPr>
          <w:p>
            <w:pPr>
              <w:spacing w:before="40" w:after="40"/>
              <w:jc w:val="left"/>
            </w:pPr>
            <w:r/>
            <w:r>
              <w:rPr>
                <w:rFonts w:ascii="Calibri" w:hAnsi="Calibri" w:eastAsia="Calibri"/>
                <w:b/>
                <w:i w:val="0"/>
                <w:color w:val="FFFFFF"/>
                <w:sz w:val="21"/>
              </w:rPr>
              <w:t>Priority</w:t>
            </w:r>
          </w:p>
        </w:tc>
        <w:tc>
          <w:tcPr>
            <w:tcW w:type="dxa" w:w="2016"/>
            <w:shd w:val="clear" w:color="auto" w:fill="1E2761"/>
          </w:tcPr>
          <w:p>
            <w:pPr>
              <w:spacing w:before="40" w:after="40"/>
              <w:jc w:val="left"/>
            </w:pPr>
            <w:r/>
            <w:r>
              <w:rPr>
                <w:rFonts w:ascii="Calibri" w:hAnsi="Calibri" w:eastAsia="Calibri"/>
                <w:b/>
                <w:i w:val="0"/>
                <w:color w:val="FFFFFF"/>
                <w:sz w:val="21"/>
              </w:rPr>
              <w:t>w_rating</w:t>
            </w:r>
          </w:p>
        </w:tc>
        <w:tc>
          <w:tcPr>
            <w:tcW w:type="dxa" w:w="2016"/>
            <w:shd w:val="clear" w:color="auto" w:fill="1E2761"/>
          </w:tcPr>
          <w:p>
            <w:pPr>
              <w:spacing w:before="40" w:after="40"/>
              <w:jc w:val="left"/>
            </w:pPr>
            <w:r/>
            <w:r>
              <w:rPr>
                <w:rFonts w:ascii="Calibri" w:hAnsi="Calibri" w:eastAsia="Calibri"/>
                <w:b/>
                <w:i w:val="0"/>
                <w:color w:val="FFFFFF"/>
                <w:sz w:val="21"/>
              </w:rPr>
              <w:t>w_price</w:t>
            </w:r>
          </w:p>
        </w:tc>
        <w:tc>
          <w:tcPr>
            <w:tcW w:type="dxa" w:w="2304"/>
            <w:shd w:val="clear" w:color="auto" w:fill="1E2761"/>
          </w:tcPr>
          <w:p>
            <w:pPr>
              <w:spacing w:before="40" w:after="40"/>
              <w:jc w:val="left"/>
            </w:pPr>
            <w:r/>
            <w:r>
              <w:rPr>
                <w:rFonts w:ascii="Calibri" w:hAnsi="Calibri" w:eastAsia="Calibri"/>
                <w:b/>
                <w:i w:val="0"/>
                <w:color w:val="FFFFFF"/>
                <w:sz w:val="21"/>
              </w:rPr>
              <w:t>w_delivery</w:t>
            </w:r>
          </w:p>
        </w:tc>
      </w:tr>
      <w:tr>
        <w:tc>
          <w:tcPr>
            <w:tcW w:type="dxa" w:w="2304"/>
          </w:tcPr>
          <w:p>
            <w:pPr>
              <w:spacing w:before="40" w:after="40"/>
              <w:jc w:val="left"/>
            </w:pPr>
            <w:r/>
            <w:r>
              <w:rPr>
                <w:rFonts w:ascii="Calibri" w:hAnsi="Calibri" w:eastAsia="Calibri"/>
                <w:b w:val="0"/>
                <w:i w:val="0"/>
                <w:sz w:val="21"/>
              </w:rPr>
              <w:t>balanced</w:t>
            </w:r>
          </w:p>
        </w:tc>
        <w:tc>
          <w:tcPr>
            <w:tcW w:type="dxa" w:w="2016"/>
          </w:tcPr>
          <w:p>
            <w:pPr>
              <w:spacing w:before="40" w:after="40"/>
              <w:jc w:val="left"/>
            </w:pPr>
            <w:r/>
            <w:r>
              <w:rPr>
                <w:rFonts w:ascii="Calibri" w:hAnsi="Calibri" w:eastAsia="Calibri"/>
                <w:b w:val="0"/>
                <w:i w:val="0"/>
                <w:sz w:val="21"/>
              </w:rPr>
              <w:t>0.40</w:t>
            </w:r>
          </w:p>
        </w:tc>
        <w:tc>
          <w:tcPr>
            <w:tcW w:type="dxa" w:w="2016"/>
          </w:tcPr>
          <w:p>
            <w:pPr>
              <w:spacing w:before="40" w:after="40"/>
              <w:jc w:val="left"/>
            </w:pPr>
            <w:r/>
            <w:r>
              <w:rPr>
                <w:rFonts w:ascii="Calibri" w:hAnsi="Calibri" w:eastAsia="Calibri"/>
                <w:b w:val="0"/>
                <w:i w:val="0"/>
                <w:sz w:val="21"/>
              </w:rPr>
              <w:t>0.30</w:t>
            </w:r>
          </w:p>
        </w:tc>
        <w:tc>
          <w:tcPr>
            <w:tcW w:type="dxa" w:w="2304"/>
          </w:tcPr>
          <w:p>
            <w:pPr>
              <w:spacing w:before="40" w:after="40"/>
              <w:jc w:val="left"/>
            </w:pPr>
            <w:r/>
            <w:r>
              <w:rPr>
                <w:rFonts w:ascii="Calibri" w:hAnsi="Calibri" w:eastAsia="Calibri"/>
                <w:b w:val="0"/>
                <w:i w:val="0"/>
                <w:sz w:val="21"/>
              </w:rPr>
              <w:t>0.30</w:t>
            </w:r>
          </w:p>
        </w:tc>
      </w:tr>
      <w:tr>
        <w:tc>
          <w:tcPr>
            <w:tcW w:type="dxa" w:w="2304"/>
          </w:tcPr>
          <w:p>
            <w:pPr>
              <w:spacing w:before="40" w:after="40"/>
              <w:jc w:val="left"/>
            </w:pPr>
            <w:r/>
            <w:r>
              <w:rPr>
                <w:rFonts w:ascii="Calibri" w:hAnsi="Calibri" w:eastAsia="Calibri"/>
                <w:b w:val="0"/>
                <w:i w:val="0"/>
                <w:sz w:val="21"/>
              </w:rPr>
              <w:t>budget</w:t>
            </w:r>
          </w:p>
        </w:tc>
        <w:tc>
          <w:tcPr>
            <w:tcW w:type="dxa" w:w="2016"/>
          </w:tcPr>
          <w:p>
            <w:pPr>
              <w:spacing w:before="40" w:after="40"/>
              <w:jc w:val="left"/>
            </w:pPr>
            <w:r/>
            <w:r>
              <w:rPr>
                <w:rFonts w:ascii="Calibri" w:hAnsi="Calibri" w:eastAsia="Calibri"/>
                <w:b w:val="0"/>
                <w:i w:val="0"/>
                <w:sz w:val="21"/>
              </w:rPr>
              <w:t>0.20</w:t>
            </w:r>
          </w:p>
        </w:tc>
        <w:tc>
          <w:tcPr>
            <w:tcW w:type="dxa" w:w="2016"/>
          </w:tcPr>
          <w:p>
            <w:pPr>
              <w:spacing w:before="40" w:after="40"/>
              <w:jc w:val="left"/>
            </w:pPr>
            <w:r/>
            <w:r>
              <w:rPr>
                <w:rFonts w:ascii="Calibri" w:hAnsi="Calibri" w:eastAsia="Calibri"/>
                <w:b w:val="0"/>
                <w:i w:val="0"/>
                <w:sz w:val="21"/>
              </w:rPr>
              <w:t>0.60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quality</w:t>
            </w:r>
          </w:p>
        </w:tc>
        <w:tc>
          <w:tcPr>
            <w:tcW w:type="dxa" w:w="2016"/>
          </w:tcPr>
          <w:p>
            <w:pPr>
              <w:spacing w:before="40" w:after="40"/>
              <w:jc w:val="left"/>
            </w:pPr>
            <w:r/>
            <w:r>
              <w:rPr>
                <w:rFonts w:ascii="Calibri" w:hAnsi="Calibri" w:eastAsia="Calibri"/>
                <w:b w:val="0"/>
                <w:i w:val="0"/>
                <w:sz w:val="21"/>
              </w:rPr>
              <w:t>0.60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fast_delivery</w:t>
            </w:r>
          </w:p>
        </w:tc>
        <w:tc>
          <w:tcPr>
            <w:tcW w:type="dxa" w:w="2016"/>
          </w:tcPr>
          <w:p>
            <w:pPr>
              <w:spacing w:before="40" w:after="40"/>
              <w:jc w:val="left"/>
            </w:pPr>
            <w:r/>
            <w:r>
              <w:rPr>
                <w:rFonts w:ascii="Calibri" w:hAnsi="Calibri" w:eastAsia="Calibri"/>
                <w:b w:val="0"/>
                <w:i w:val="0"/>
                <w:sz w:val="21"/>
              </w:rPr>
              <w:t>0.30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0.50</w:t>
            </w:r>
          </w:p>
        </w:tc>
      </w:tr>
    </w:tbl>
    <w:p>
      <w:pPr>
        <w:spacing w:before="40" w:after="200"/>
        <w:jc w:val="center"/>
      </w:pPr>
      <w:r>
        <w:rPr>
          <w:rFonts w:ascii="Calibri" w:hAnsi="Calibri" w:eastAsia="Calibri"/>
          <w:b w:val="0"/>
          <w:i/>
          <w:color w:val="555566"/>
          <w:sz w:val="20"/>
        </w:rPr>
        <w:t>Table 4: Priority-mode weights. Each row sums to 1.0 by construction, ensuring the shared score remains in [0, 1].</w:t>
      </w:r>
    </w:p>
    <w:p>
      <w:pPr>
        <w:keepNext/>
        <w:spacing w:before="200" w:after="120"/>
      </w:pPr>
      <w:r>
        <w:rPr>
          <w:rFonts w:ascii="Calibri" w:hAnsi="Calibri" w:eastAsia="Calibri"/>
          <w:b/>
          <w:i w:val="0"/>
          <w:color w:val="1E2761"/>
          <w:sz w:val="26"/>
        </w:rPr>
        <w:t>4.5  Explainability Layer</w:t>
      </w:r>
    </w:p>
    <w:p>
      <w:pPr>
        <w:spacing w:before="0" w:after="160" w:line="240" w:lineRule="auto"/>
        <w:jc w:val="both"/>
      </w:pPr>
      <w:r>
        <w:rPr>
          <w:rFonts w:ascii="Calibri" w:hAnsi="Calibri" w:eastAsia="Calibri"/>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 26-entry rule-&gt;text dictionary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Calibri" w:hAnsi="Calibri" w:eastAsia="Calibri"/>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Calibri" w:hAnsi="Calibri" w:eastAsia="Calibri"/>
          <w:b/>
          <w:i w:val="0"/>
          <w:color w:val="1E2761"/>
          <w:sz w:val="26"/>
        </w:rPr>
        <w:t>4.6  Visualization and Five-Scene UI</w:t>
      </w:r>
    </w:p>
    <w:p>
      <w:pPr>
        <w:spacing w:before="0" w:after="160" w:line="240" w:lineRule="auto"/>
        <w:jc w:val="both"/>
      </w:pPr>
      <w:r>
        <w:rPr>
          <w:rFonts w:ascii="Calibri" w:hAnsi="Calibri" w:eastAsia="Calibri"/>
          <w:b w:val="0"/>
          <w:i w:val="0"/>
          <w:sz w:val="22"/>
        </w:rPr>
        <w:t>The user-facing demo is a five-scene React application that walks through the decision-support workflow visually:</w:t>
      </w:r>
    </w:p>
    <w:tbl>
      <w:tblPr>
        <w:tblStyle w:val="LightGrid-Accent1"/>
        <w:tblW w:type="auto" w:w="0"/>
        <w:jc w:val="center"/>
        <w:tblLook w:firstColumn="1" w:firstRow="1" w:lastColumn="0" w:lastRow="0" w:noHBand="0" w:noVBand="1" w:val="04A0"/>
      </w:tblPr>
      <w:tblGrid>
        <w:gridCol w:w="3024"/>
        <w:gridCol w:w="3024"/>
        <w:gridCol w:w="3024"/>
      </w:tblGrid>
      <w:tr>
        <w:tc>
          <w:tcPr>
            <w:tcW w:type="dxa" w:w="1008"/>
            <w:shd w:val="clear" w:color="auto" w:fill="1E2761"/>
          </w:tcPr>
          <w:p>
            <w:pPr>
              <w:spacing w:before="40" w:after="40"/>
              <w:jc w:val="left"/>
            </w:pPr>
            <w:r/>
            <w:r>
              <w:rPr>
                <w:rFonts w:ascii="Calibri" w:hAnsi="Calibri" w:eastAsia="Calibri"/>
                <w:b/>
                <w:i w:val="0"/>
                <w:color w:val="FFFFFF"/>
                <w:sz w:val="21"/>
              </w:rPr>
              <w:t>Scene</w:t>
            </w:r>
          </w:p>
        </w:tc>
        <w:tc>
          <w:tcPr>
            <w:tcW w:type="dxa" w:w="4608"/>
            <w:shd w:val="clear" w:color="auto" w:fill="1E2761"/>
          </w:tcPr>
          <w:p>
            <w:pPr>
              <w:spacing w:before="40" w:after="40"/>
              <w:jc w:val="left"/>
            </w:pPr>
            <w:r/>
            <w:r>
              <w:rPr>
                <w:rFonts w:ascii="Calibri" w:hAnsi="Calibri" w:eastAsia="Calibri"/>
                <w:b/>
                <w:i w:val="0"/>
                <w:color w:val="FFFFFF"/>
                <w:sz w:val="21"/>
              </w:rPr>
              <w:t>Purpose</w:t>
            </w:r>
          </w:p>
        </w:tc>
        <w:tc>
          <w:tcPr>
            <w:tcW w:type="dxa" w:w="2880"/>
            <w:shd w:val="clear" w:color="auto" w:fill="1E2761"/>
          </w:tcPr>
          <w:p>
            <w:pPr>
              <w:spacing w:before="40" w:after="40"/>
              <w:jc w:val="left"/>
            </w:pPr>
            <w:r/>
            <w:r>
              <w:rPr>
                <w:rFonts w:ascii="Calibri" w:hAnsi="Calibri" w:eastAsia="Calibri"/>
                <w:b/>
                <w:i w:val="0"/>
                <w:color w:val="FFFFFF"/>
                <w:sz w:val="21"/>
              </w:rPr>
              <w:t>Layer</w:t>
            </w:r>
          </w:p>
        </w:tc>
      </w:tr>
      <w:tr>
        <w:tc>
          <w:tcPr>
            <w:tcW w:type="dxa" w:w="1008"/>
          </w:tcPr>
          <w:p>
            <w:pPr>
              <w:spacing w:before="40" w:after="40"/>
              <w:jc w:val="left"/>
            </w:pPr>
            <w:r/>
            <w:r>
              <w:rPr>
                <w:rFonts w:ascii="Calibri" w:hAnsi="Calibri" w:eastAsia="Calibri"/>
                <w:b w:val="0"/>
                <w:i w:val="0"/>
                <w:sz w:val="21"/>
              </w:rPr>
              <w:t>1</w:t>
            </w:r>
          </w:p>
        </w:tc>
        <w:tc>
          <w:tcPr>
            <w:tcW w:type="dxa" w:w="4608"/>
          </w:tcPr>
          <w:p>
            <w:pPr>
              <w:spacing w:before="40" w:after="40"/>
              <w:jc w:val="left"/>
            </w:pPr>
            <w:r/>
            <w:r>
              <w:rPr>
                <w:rFonts w:ascii="Calibri" w:hAnsi="Calibri" w:eastAsia="Calibri"/>
                <w:b w:val="0"/>
                <w:i w:val="0"/>
                <w:sz w:val="21"/>
              </w:rPr>
              <w:t>Frustration / empathic intake</w:t>
            </w:r>
          </w:p>
        </w:tc>
        <w:tc>
          <w:tcPr>
            <w:tcW w:type="dxa" w:w="2880"/>
          </w:tcPr>
          <w:p>
            <w:pPr>
              <w:spacing w:before="40" w:after="40"/>
              <w:jc w:val="left"/>
            </w:pPr>
            <w:r/>
            <w:r>
              <w:rPr>
                <w:rFonts w:ascii="Calibri" w:hAnsi="Calibri" w:eastAsia="Calibri"/>
                <w:b w:val="0"/>
                <w:i w:val="0"/>
                <w:sz w:val="21"/>
              </w:rPr>
              <w:t>Layer 1 (elicitation)</w:t>
            </w:r>
          </w:p>
        </w:tc>
      </w:tr>
      <w:tr>
        <w:tc>
          <w:tcPr>
            <w:tcW w:type="dxa" w:w="1008"/>
          </w:tcPr>
          <w:p>
            <w:pPr>
              <w:spacing w:before="40" w:after="40"/>
              <w:jc w:val="left"/>
            </w:pPr>
            <w:r/>
            <w:r>
              <w:rPr>
                <w:rFonts w:ascii="Calibri" w:hAnsi="Calibri" w:eastAsia="Calibri"/>
                <w:b w:val="0"/>
                <w:i w:val="0"/>
                <w:sz w:val="21"/>
              </w:rPr>
              <w:t>2</w:t>
            </w:r>
          </w:p>
        </w:tc>
        <w:tc>
          <w:tcPr>
            <w:tcW w:type="dxa" w:w="4608"/>
          </w:tcPr>
          <w:p>
            <w:pPr>
              <w:spacing w:before="40" w:after="40"/>
              <w:jc w:val="left"/>
            </w:pPr>
            <w:r/>
            <w:r>
              <w:rPr>
                <w:rFonts w:ascii="Calibri" w:hAnsi="Calibri" w:eastAsia="Calibri"/>
                <w:b w:val="0"/>
                <w:i w:val="0"/>
                <w:sz w:val="21"/>
              </w:rPr>
              <w:t>Needs clarification (chip questions)</w:t>
            </w:r>
          </w:p>
        </w:tc>
        <w:tc>
          <w:tcPr>
            <w:tcW w:type="dxa" w:w="2880"/>
          </w:tcPr>
          <w:p>
            <w:pPr>
              <w:spacing w:before="40" w:after="40"/>
              <w:jc w:val="left"/>
            </w:pPr>
            <w:r/>
            <w:r>
              <w:rPr>
                <w:rFonts w:ascii="Calibri" w:hAnsi="Calibri" w:eastAsia="Calibri"/>
                <w:b w:val="0"/>
                <w:i w:val="0"/>
                <w:sz w:val="21"/>
              </w:rPr>
              <w:t>Layer 1 → Layer 2</w:t>
            </w:r>
          </w:p>
        </w:tc>
      </w:tr>
      <w:tr>
        <w:tc>
          <w:tcPr>
            <w:tcW w:type="dxa" w:w="1008"/>
          </w:tcPr>
          <w:p>
            <w:pPr>
              <w:spacing w:before="40" w:after="40"/>
              <w:jc w:val="left"/>
            </w:pPr>
            <w:r/>
            <w:r>
              <w:rPr>
                <w:rFonts w:ascii="Calibri" w:hAnsi="Calibri" w:eastAsia="Calibri"/>
                <w:b w:val="0"/>
                <w:i w:val="0"/>
                <w:sz w:val="21"/>
              </w:rPr>
              <w:t>3</w:t>
            </w:r>
          </w:p>
        </w:tc>
        <w:tc>
          <w:tcPr>
            <w:tcW w:type="dxa" w:w="4608"/>
          </w:tcPr>
          <w:p>
            <w:pPr>
              <w:spacing w:before="40" w:after="40"/>
              <w:jc w:val="left"/>
            </w:pPr>
            <w:r/>
            <w:r>
              <w:rPr>
                <w:rFonts w:ascii="Calibri" w:hAnsi="Calibri" w:eastAsia="Calibri"/>
                <w:b w:val="0"/>
                <w:i w:val="0"/>
                <w:sz w:val="21"/>
              </w:rPr>
              <w:t>Recommendations grid (12 ranked tiles)</w:t>
            </w:r>
          </w:p>
        </w:tc>
        <w:tc>
          <w:tcPr>
            <w:tcW w:type="dxa" w:w="2880"/>
          </w:tcPr>
          <w:p>
            <w:pPr>
              <w:spacing w:before="40" w:after="40"/>
              <w:jc w:val="left"/>
            </w:pPr>
            <w:r/>
            <w:r>
              <w:rPr>
                <w:rFonts w:ascii="Calibri" w:hAnsi="Calibri" w:eastAsia="Calibri"/>
                <w:b w:val="0"/>
                <w:i w:val="0"/>
                <w:sz w:val="21"/>
              </w:rPr>
              <w:t>Layer 3</w:t>
            </w:r>
          </w:p>
        </w:tc>
      </w:tr>
      <w:tr>
        <w:tc>
          <w:tcPr>
            <w:tcW w:type="dxa" w:w="1008"/>
          </w:tcPr>
          <w:p>
            <w:pPr>
              <w:spacing w:before="40" w:after="40"/>
              <w:jc w:val="left"/>
            </w:pPr>
            <w:r/>
            <w:r>
              <w:rPr>
                <w:rFonts w:ascii="Calibri" w:hAnsi="Calibri" w:eastAsia="Calibri"/>
                <w:b w:val="0"/>
                <w:i w:val="0"/>
                <w:sz w:val="21"/>
              </w:rPr>
              <w:t>4</w:t>
            </w:r>
          </w:p>
        </w:tc>
        <w:tc>
          <w:tcPr>
            <w:tcW w:type="dxa" w:w="4608"/>
          </w:tcPr>
          <w:p>
            <w:pPr>
              <w:spacing w:before="40" w:after="40"/>
              <w:jc w:val="left"/>
            </w:pPr>
            <w:r/>
            <w:r>
              <w:rPr>
                <w:rFonts w:ascii="Calibri" w:hAnsi="Calibri" w:eastAsia="Calibri"/>
                <w:b w:val="0"/>
                <w:i w:val="0"/>
                <w:sz w:val="21"/>
              </w:rPr>
              <w:t>Why we recommend this (per-product page)</w:t>
            </w:r>
          </w:p>
        </w:tc>
        <w:tc>
          <w:tcPr>
            <w:tcW w:type="dxa" w:w="2880"/>
          </w:tcPr>
          <w:p>
            <w:pPr>
              <w:spacing w:before="40" w:after="40"/>
              <w:jc w:val="left"/>
            </w:pPr>
            <w:r/>
            <w:r>
              <w:rPr>
                <w:rFonts w:ascii="Calibri" w:hAnsi="Calibri" w:eastAsia="Calibri"/>
                <w:b w:val="0"/>
                <w:i w:val="0"/>
                <w:sz w:val="21"/>
              </w:rPr>
              <w:t>Layer 4</w:t>
            </w:r>
          </w:p>
        </w:tc>
      </w:tr>
      <w:tr>
        <w:tc>
          <w:tcPr>
            <w:tcW w:type="dxa" w:w="1008"/>
          </w:tcPr>
          <w:p>
            <w:pPr>
              <w:spacing w:before="40" w:after="40"/>
              <w:jc w:val="left"/>
            </w:pPr>
            <w:r/>
            <w:r>
              <w:rPr>
                <w:rFonts w:ascii="Calibri" w:hAnsi="Calibri" w:eastAsia="Calibri"/>
                <w:b w:val="0"/>
                <w:i w:val="0"/>
                <w:sz w:val="21"/>
              </w:rPr>
              <w:t>5</w:t>
            </w:r>
          </w:p>
        </w:tc>
        <w:tc>
          <w:tcPr>
            <w:tcW w:type="dxa" w:w="4608"/>
          </w:tcPr>
          <w:p>
            <w:pPr>
              <w:spacing w:before="40" w:after="40"/>
              <w:jc w:val="left"/>
            </w:pPr>
            <w:r/>
            <w:r>
              <w:rPr>
                <w:rFonts w:ascii="Calibri" w:hAnsi="Calibri" w:eastAsia="Calibri"/>
                <w:b w:val="0"/>
                <w:i w:val="0"/>
                <w:sz w:val="21"/>
              </w:rPr>
              <w:t>Daily-use lifecycle dashboard</w:t>
            </w:r>
          </w:p>
        </w:tc>
        <w:tc>
          <w:tcPr>
            <w:tcW w:type="dxa" w:w="2880"/>
          </w:tcPr>
          <w:p>
            <w:pPr>
              <w:spacing w:before="40" w:after="40"/>
              <w:jc w:val="left"/>
            </w:pPr>
            <w:r/>
            <w:r>
              <w:rPr>
                <w:rFonts w:ascii="Calibri" w:hAnsi="Calibri" w:eastAsia="Calibri"/>
                <w:b w:val="0"/>
                <w:i w:val="0"/>
                <w:sz w:val="21"/>
              </w:rPr>
              <w:t>Layer 5</w:t>
            </w:r>
          </w:p>
        </w:tc>
      </w:tr>
    </w:tbl>
    <w:p>
      <w:pPr>
        <w:spacing w:before="40" w:after="200"/>
        <w:jc w:val="center"/>
      </w:pPr>
      <w:r>
        <w:rPr>
          <w:rFonts w:ascii="Calibri" w:hAnsi="Calibri" w:eastAsia="Calibri"/>
          <w:b w:val="0"/>
          <w:i/>
          <w:color w:val="555566"/>
          <w:sz w:val="20"/>
        </w:rPr>
        <w:t>Table 5: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Calibri" w:hAnsi="Calibri" w:eastAsia="Calibri"/>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Calibri" w:hAnsi="Calibri" w:eastAsia="Calibri"/>
          <w:b/>
          <w:i w:val="0"/>
          <w:color w:val="1E2761"/>
          <w:sz w:val="26"/>
        </w:rPr>
        <w:t>4.7  Preference Continuity Across Turns</w:t>
      </w:r>
    </w:p>
    <w:p>
      <w:pPr>
        <w:spacing w:before="0" w:after="160" w:line="240" w:lineRule="auto"/>
        <w:jc w:val="both"/>
      </w:pPr>
      <w:r>
        <w:rPr>
          <w:rFonts w:ascii="Calibri" w:hAnsi="Calibri" w:eastAsia="Calibri"/>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Calibri" w:hAnsi="Calibri" w:eastAsia="Calibri"/>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Calibri" w:hAnsi="Calibri" w:eastAsia="Calibri"/>
          <w:b/>
          <w:i w:val="0"/>
          <w:color w:val="1E2761"/>
          <w:sz w:val="26"/>
        </w:rPr>
        <w:t>4.8  Personalised Lifecycle Layer</w:t>
      </w:r>
    </w:p>
    <w:p>
      <w:pPr>
        <w:spacing w:before="0" w:after="160" w:line="240" w:lineRule="auto"/>
        <w:jc w:val="both"/>
      </w:pPr>
      <w:r>
        <w:rPr>
          <w:rFonts w:ascii="Calibri" w:hAnsi="Calibri" w:eastAsia="Calibri"/>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r>
        <w:br w:type="page"/>
      </w:r>
    </w:p>
    <w:p>
      <w:pPr>
        <w:keepNext/>
        <w:spacing w:before="280" w:after="120"/>
      </w:pPr>
      <w:r>
        <w:rPr>
          <w:rFonts w:ascii="Calibri" w:hAnsi="Calibri" w:eastAsia="Calibri"/>
          <w:b/>
          <w:i w:val="0"/>
          <w:color w:val="1E2761"/>
          <w:sz w:val="32"/>
        </w:rPr>
        <w:t>5.  Results</w:t>
      </w:r>
    </w:p>
    <w:p>
      <w:pPr>
        <w:keepNext/>
        <w:spacing w:before="200" w:after="120"/>
      </w:pPr>
      <w:r>
        <w:rPr>
          <w:rFonts w:ascii="Calibri" w:hAnsi="Calibri" w:eastAsia="Calibri"/>
          <w:b/>
          <w:i w:val="0"/>
          <w:color w:val="1E2761"/>
          <w:sz w:val="26"/>
        </w:rPr>
        <w:t>5.1  Scenario-Based Evaluation</w:t>
      </w:r>
    </w:p>
    <w:p>
      <w:pPr>
        <w:spacing w:before="0" w:after="160" w:line="240" w:lineRule="auto"/>
        <w:jc w:val="both"/>
      </w:pPr>
      <w:r>
        <w:rPr>
          <w:rFonts w:ascii="Calibri" w:hAnsi="Calibri" w:eastAsia="Calibri"/>
          <w:b w:val="0"/>
          <w:i w:val="0"/>
          <w:sz w:val="22"/>
        </w:rPr>
        <w:t>Three scripted scenarios — one per product category — exercise the full five-scene flow and compare the system's behaviour against three reference assistants (Amazon Rufus, ChatGPT-with-Shopping, and Perplexity). Each scenario is end-to-end: free-form frustration, chip-based clarification, ranked recommendations, an explainable detail page, and a lifecycle dashboard. The full scripts and operator notes are in `docs/demo_scenarios.md`.</w:t>
      </w:r>
    </w:p>
    <w:tbl>
      <w:tblPr>
        <w:tblStyle w:val="LightGrid-Accent1"/>
        <w:tblW w:type="auto" w:w="0"/>
        <w:jc w:val="center"/>
        <w:tblLook w:firstColumn="1" w:firstRow="1" w:lastColumn="0" w:lastRow="0" w:noHBand="0" w:noVBand="1" w:val="04A0"/>
      </w:tblPr>
      <w:tblGrid>
        <w:gridCol w:w="3024"/>
        <w:gridCol w:w="3024"/>
        <w:gridCol w:w="3024"/>
      </w:tblGrid>
      <w:tr>
        <w:tc>
          <w:tcPr>
            <w:tcW w:type="dxa" w:w="2448"/>
            <w:shd w:val="clear" w:color="auto" w:fill="1E2761"/>
          </w:tcPr>
          <w:p>
            <w:pPr>
              <w:spacing w:before="40" w:after="40"/>
              <w:jc w:val="left"/>
            </w:pPr>
            <w:r/>
            <w:r>
              <w:rPr>
                <w:rFonts w:ascii="Calibri" w:hAnsi="Calibri" w:eastAsia="Calibri"/>
                <w:b/>
                <w:i w:val="0"/>
                <w:color w:val="FFFFFF"/>
                <w:sz w:val="21"/>
              </w:rPr>
              <w:t>Scenario</w:t>
            </w:r>
          </w:p>
        </w:tc>
        <w:tc>
          <w:tcPr>
            <w:tcW w:type="dxa" w:w="5184"/>
            <w:shd w:val="clear" w:color="auto" w:fill="1E2761"/>
          </w:tcPr>
          <w:p>
            <w:pPr>
              <w:spacing w:before="40" w:after="40"/>
              <w:jc w:val="left"/>
            </w:pPr>
            <w:r/>
            <w:r>
              <w:rPr>
                <w:rFonts w:ascii="Calibri" w:hAnsi="Calibri" w:eastAsia="Calibri"/>
                <w:b/>
                <w:i w:val="0"/>
                <w:color w:val="FFFFFF"/>
                <w:sz w:val="21"/>
              </w:rPr>
              <w:t>Top-1 product (this project)</w:t>
            </w:r>
          </w:p>
        </w:tc>
        <w:tc>
          <w:tcPr>
            <w:tcW w:type="dxa" w:w="1008"/>
            <w:shd w:val="clear" w:color="auto" w:fill="1E2761"/>
          </w:tcPr>
          <w:p>
            <w:pPr>
              <w:spacing w:before="40" w:after="40"/>
              <w:jc w:val="left"/>
            </w:pPr>
            <w:r/>
            <w:r>
              <w:rPr>
                <w:rFonts w:ascii="Calibri" w:hAnsi="Calibri" w:eastAsia="Calibri"/>
                <w:b/>
                <w:i w:val="0"/>
                <w:color w:val="FFFFFF"/>
                <w:sz w:val="21"/>
              </w:rPr>
              <w:t>Score</w:t>
            </w:r>
          </w:p>
        </w:tc>
      </w:tr>
      <w:tr>
        <w:tc>
          <w:tcPr>
            <w:tcW w:type="dxa" w:w="2448"/>
          </w:tcPr>
          <w:p>
            <w:pPr>
              <w:spacing w:before="40" w:after="40"/>
              <w:jc w:val="left"/>
            </w:pPr>
            <w:r/>
            <w:r>
              <w:rPr>
                <w:rFonts w:ascii="Calibri" w:hAnsi="Calibri" w:eastAsia="Calibri"/>
                <w:b w:val="0"/>
                <w:i w:val="0"/>
                <w:sz w:val="21"/>
              </w:rPr>
              <w:t>Kitchen cooking</w:t>
            </w:r>
          </w:p>
        </w:tc>
        <w:tc>
          <w:tcPr>
            <w:tcW w:type="dxa" w:w="5184"/>
          </w:tcPr>
          <w:p>
            <w:pPr>
              <w:spacing w:before="40" w:after="40"/>
              <w:jc w:val="left"/>
            </w:pPr>
            <w:r/>
            <w:r>
              <w:rPr>
                <w:rFonts w:ascii="Calibri" w:hAnsi="Calibri" w:eastAsia="Calibri"/>
                <w:b w:val="0"/>
                <w:i w:val="0"/>
                <w:sz w:val="21"/>
              </w:rPr>
              <w:t>Echo Show 8 / Echo Show 5 with Smart Bulb (~$50–$140)</w:t>
            </w:r>
          </w:p>
        </w:tc>
        <w:tc>
          <w:tcPr>
            <w:tcW w:type="dxa" w:w="1008"/>
          </w:tcPr>
          <w:p>
            <w:pPr>
              <w:spacing w:before="40" w:after="40"/>
              <w:jc w:val="left"/>
            </w:pPr>
            <w:r/>
            <w:r>
              <w:rPr>
                <w:rFonts w:ascii="Calibri" w:hAnsi="Calibri" w:eastAsia="Calibri"/>
                <w:b w:val="0"/>
                <w:i w:val="0"/>
                <w:sz w:val="21"/>
              </w:rPr>
              <w:t>0.82</w:t>
            </w:r>
          </w:p>
        </w:tc>
      </w:tr>
      <w:tr>
        <w:tc>
          <w:tcPr>
            <w:tcW w:type="dxa" w:w="2448"/>
          </w:tcPr>
          <w:p>
            <w:pPr>
              <w:spacing w:before="40" w:after="40"/>
              <w:jc w:val="left"/>
            </w:pPr>
            <w:r/>
            <w:r>
              <w:rPr>
                <w:rFonts w:ascii="Calibri" w:hAnsi="Calibri" w:eastAsia="Calibri"/>
                <w:b w:val="0"/>
                <w:i w:val="0"/>
                <w:sz w:val="21"/>
              </w:rPr>
              <w:t>Gym hydration</w:t>
            </w:r>
          </w:p>
        </w:tc>
        <w:tc>
          <w:tcPr>
            <w:tcW w:type="dxa" w:w="5184"/>
          </w:tcPr>
          <w:p>
            <w:pPr>
              <w:spacing w:before="40" w:after="40"/>
              <w:jc w:val="left"/>
            </w:pPr>
            <w:r/>
            <w:r>
              <w:rPr>
                <w:rFonts w:ascii="Calibri" w:hAnsi="Calibri" w:eastAsia="Calibri"/>
                <w:b w:val="0"/>
                <w:i w:val="0"/>
                <w:sz w:val="21"/>
              </w:rPr>
              <w:t>Owala FreeSip 19oz Insulated Stainless ($14.99)</w:t>
            </w:r>
          </w:p>
        </w:tc>
        <w:tc>
          <w:tcPr>
            <w:tcW w:type="dxa" w:w="1008"/>
          </w:tcPr>
          <w:p>
            <w:pPr>
              <w:spacing w:before="40" w:after="40"/>
              <w:jc w:val="left"/>
            </w:pPr>
            <w:r/>
            <w:r>
              <w:rPr>
                <w:rFonts w:ascii="Calibri" w:hAnsi="Calibri" w:eastAsia="Calibri"/>
                <w:b w:val="0"/>
                <w:i w:val="0"/>
                <w:sz w:val="21"/>
              </w:rPr>
              <w:t>0.79</w:t>
            </w:r>
          </w:p>
        </w:tc>
      </w:tr>
      <w:tr>
        <w:tc>
          <w:tcPr>
            <w:tcW w:type="dxa" w:w="2448"/>
          </w:tcPr>
          <w:p>
            <w:pPr>
              <w:spacing w:before="40" w:after="40"/>
              <w:jc w:val="left"/>
            </w:pPr>
            <w:r/>
            <w:r>
              <w:rPr>
                <w:rFonts w:ascii="Calibri" w:hAnsi="Calibri" w:eastAsia="Calibri"/>
                <w:b w:val="0"/>
                <w:i w:val="0"/>
                <w:sz w:val="21"/>
              </w:rPr>
              <w:t>Cabinet organisation</w:t>
            </w:r>
          </w:p>
        </w:tc>
        <w:tc>
          <w:tcPr>
            <w:tcW w:type="dxa" w:w="5184"/>
          </w:tcPr>
          <w:p>
            <w:pPr>
              <w:spacing w:before="40" w:after="40"/>
              <w:jc w:val="left"/>
            </w:pPr>
            <w:r/>
            <w:r>
              <w:rPr>
                <w:rFonts w:ascii="Calibri" w:hAnsi="Calibri" w:eastAsia="Calibri"/>
                <w:b w:val="0"/>
                <w:i w:val="0"/>
                <w:sz w:val="21"/>
              </w:rPr>
              <w:t>Brightroom Stackable Pantry Bin Set ($9–$16)</w:t>
            </w:r>
          </w:p>
        </w:tc>
        <w:tc>
          <w:tcPr>
            <w:tcW w:type="dxa" w:w="1008"/>
          </w:tcPr>
          <w:p>
            <w:pPr>
              <w:spacing w:before="40" w:after="40"/>
              <w:jc w:val="left"/>
            </w:pPr>
            <w:r/>
            <w:r>
              <w:rPr>
                <w:rFonts w:ascii="Calibri" w:hAnsi="Calibri" w:eastAsia="Calibri"/>
                <w:b w:val="0"/>
                <w:i w:val="0"/>
                <w:sz w:val="21"/>
              </w:rPr>
              <w:t>0.81</w:t>
            </w:r>
          </w:p>
        </w:tc>
      </w:tr>
    </w:tbl>
    <w:p>
      <w:pPr>
        <w:spacing w:before="40" w:after="200"/>
        <w:jc w:val="center"/>
      </w:pPr>
      <w:r>
        <w:rPr>
          <w:rFonts w:ascii="Calibri" w:hAnsi="Calibri" w:eastAsia="Calibri"/>
          <w:b w:val="0"/>
          <w:i/>
          <w:color w:val="555566"/>
          <w:sz w:val="20"/>
        </w:rPr>
        <w:t>Table 6: Top-1 result per scripted scenario. Score is the combined shared+category score on the [0, ~1.4] scale used by the ranker.</w:t>
      </w:r>
    </w:p>
    <w:p>
      <w:pPr>
        <w:spacing w:before="0" w:after="160" w:line="240" w:lineRule="auto"/>
        <w:jc w:val="both"/>
      </w:pPr>
      <w:r>
        <w:rPr>
          <w:rFonts w:ascii="Calibri" w:hAnsi="Calibri" w:eastAsia="Calibri"/>
          <w:b w:val="0"/>
          <w:i w:val="0"/>
          <w:sz w:val="22"/>
        </w:rPr>
        <w:t>Figure 2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695401"/>
            <wp:docPr id="1" name="Picture 1"/>
            <wp:cNvGraphicFramePr>
              <a:graphicFrameLocks noChangeAspect="1"/>
            </wp:cNvGraphicFramePr>
            <a:graphic>
              <a:graphicData uri="http://schemas.openxmlformats.org/drawingml/2006/picture">
                <pic:pic>
                  <pic:nvPicPr>
                    <pic:cNvPr id="0" name="results_score_distribution.png"/>
                    <pic:cNvPicPr/>
                  </pic:nvPicPr>
                  <pic:blipFill>
                    <a:blip r:embed="rId9"/>
                    <a:stretch>
                      <a:fillRect/>
                    </a:stretch>
                  </pic:blipFill>
                  <pic:spPr>
                    <a:xfrm>
                      <a:off x="0" y="0"/>
                      <a:ext cx="5852160" cy="1695401"/>
                    </a:xfrm>
                    <a:prstGeom prst="rect"/>
                  </pic:spPr>
                </pic:pic>
              </a:graphicData>
            </a:graphic>
          </wp:inline>
        </w:drawing>
      </w:r>
    </w:p>
    <w:p>
      <w:pPr>
        <w:spacing w:before="40" w:after="200"/>
        <w:jc w:val="center"/>
      </w:pPr>
      <w:r>
        <w:rPr>
          <w:rFonts w:ascii="Calibri" w:hAnsi="Calibri" w:eastAsia="Calibri"/>
          <w:b w:val="0"/>
          <w:i/>
          <w:color w:val="555566"/>
          <w:sz w:val="20"/>
        </w:rPr>
        <w:t>Figure 2: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Calibri" w:hAnsi="Calibri" w:eastAsia="Calibri"/>
          <w:b/>
          <w:i w:val="0"/>
          <w:color w:val="1E2761"/>
          <w:sz w:val="26"/>
        </w:rPr>
        <w:t>5.2  Comparison Against Baselines</w:t>
      </w:r>
    </w:p>
    <w:p>
      <w:pPr>
        <w:spacing w:before="0" w:after="160" w:line="240" w:lineRule="auto"/>
        <w:jc w:val="both"/>
      </w:pPr>
      <w:r>
        <w:rPr>
          <w:rFonts w:ascii="Calibri" w:hAnsi="Calibri" w:eastAsia="Calibri"/>
          <w:b w:val="0"/>
          <w:i w:val="0"/>
          <w:sz w:val="22"/>
        </w:rPr>
        <w:t>Table 7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3456"/>
            <w:shd w:val="clear" w:color="auto" w:fill="1E2761"/>
          </w:tcPr>
          <w:p>
            <w:pPr>
              <w:spacing w:before="40" w:after="40"/>
              <w:jc w:val="left"/>
            </w:pPr>
            <w:r/>
            <w:r>
              <w:rPr>
                <w:rFonts w:ascii="Calibri" w:hAnsi="Calibri" w:eastAsia="Calibri"/>
                <w:b/>
                <w:i w:val="0"/>
                <w:color w:val="FFFFFF"/>
                <w:sz w:val="21"/>
              </w:rPr>
              <w:t>Capability</w:t>
            </w:r>
          </w:p>
        </w:tc>
        <w:tc>
          <w:tcPr>
            <w:tcW w:type="dxa" w:w="864"/>
            <w:shd w:val="clear" w:color="auto" w:fill="1E2761"/>
          </w:tcPr>
          <w:p>
            <w:pPr>
              <w:spacing w:before="40" w:after="40"/>
              <w:jc w:val="left"/>
            </w:pPr>
            <w:r/>
            <w:r>
              <w:rPr>
                <w:rFonts w:ascii="Calibri" w:hAnsi="Calibri" w:eastAsia="Calibri"/>
                <w:b/>
                <w:i w:val="0"/>
                <w:color w:val="FFFFFF"/>
                <w:sz w:val="21"/>
              </w:rPr>
              <w:t>This</w:t>
            </w:r>
          </w:p>
        </w:tc>
        <w:tc>
          <w:tcPr>
            <w:tcW w:type="dxa" w:w="1008"/>
            <w:shd w:val="clear" w:color="auto" w:fill="1E2761"/>
          </w:tcPr>
          <w:p>
            <w:pPr>
              <w:spacing w:before="40" w:after="40"/>
              <w:jc w:val="left"/>
            </w:pPr>
            <w:r/>
            <w:r>
              <w:rPr>
                <w:rFonts w:ascii="Calibri" w:hAnsi="Calibri" w:eastAsia="Calibri"/>
                <w:b/>
                <w:i w:val="0"/>
                <w:color w:val="FFFFFF"/>
                <w:sz w:val="21"/>
              </w:rPr>
              <w:t>Rufus</w:t>
            </w:r>
          </w:p>
        </w:tc>
        <w:tc>
          <w:tcPr>
            <w:tcW w:type="dxa" w:w="1296"/>
            <w:shd w:val="clear" w:color="auto" w:fill="1E2761"/>
          </w:tcPr>
          <w:p>
            <w:pPr>
              <w:spacing w:before="40" w:after="40"/>
              <w:jc w:val="left"/>
            </w:pPr>
            <w:r/>
            <w:r>
              <w:rPr>
                <w:rFonts w:ascii="Calibri" w:hAnsi="Calibri" w:eastAsia="Calibri"/>
                <w:b/>
                <w:i w:val="0"/>
                <w:color w:val="FFFFFF"/>
                <w:sz w:val="21"/>
              </w:rPr>
              <w:t>ChatGPT</w:t>
            </w:r>
          </w:p>
        </w:tc>
        <w:tc>
          <w:tcPr>
            <w:tcW w:type="dxa" w:w="1008"/>
            <w:shd w:val="clear" w:color="auto" w:fill="1E2761"/>
          </w:tcPr>
          <w:p>
            <w:pPr>
              <w:spacing w:before="40" w:after="40"/>
              <w:jc w:val="left"/>
            </w:pPr>
            <w:r/>
            <w:r>
              <w:rPr>
                <w:rFonts w:ascii="Calibri" w:hAnsi="Calibri" w:eastAsia="Calibri"/>
                <w:b/>
                <w:i w:val="0"/>
                <w:color w:val="FFFFFF"/>
                <w:sz w:val="21"/>
              </w:rPr>
              <w:t>Google</w:t>
            </w:r>
          </w:p>
        </w:tc>
        <w:tc>
          <w:tcPr>
            <w:tcW w:type="dxa" w:w="1440"/>
            <w:shd w:val="clear" w:color="auto" w:fill="1E2761"/>
          </w:tcPr>
          <w:p>
            <w:pPr>
              <w:spacing w:before="40" w:after="40"/>
              <w:jc w:val="left"/>
            </w:pPr>
            <w:r/>
            <w:r>
              <w:rPr>
                <w:rFonts w:ascii="Calibri" w:hAnsi="Calibri" w:eastAsia="Calibri"/>
                <w:b/>
                <w:i w:val="0"/>
                <w:color w:val="FFFFFF"/>
                <w:sz w:val="21"/>
              </w:rPr>
              <w:t>Perplexity</w:t>
            </w:r>
          </w:p>
        </w:tc>
      </w:tr>
      <w:tr>
        <w:tc>
          <w:tcPr>
            <w:tcW w:type="dxa" w:w="3456"/>
          </w:tcPr>
          <w:p>
            <w:pPr>
              <w:spacing w:before="40" w:after="40"/>
              <w:jc w:val="left"/>
            </w:pPr>
            <w:r/>
            <w:r>
              <w:rPr>
                <w:rFonts w:ascii="Calibri" w:hAnsi="Calibri" w:eastAsia="Calibri"/>
                <w:b w:val="0"/>
                <w:i w:val="0"/>
                <w:sz w:val="21"/>
              </w:rPr>
              <w:t>Preference continuity (multi-turn)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Decision-critical attributes inline</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Faithful (grounded) explanation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Trade-off communication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Post-purchase lifecycle support</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bl>
    <w:p>
      <w:pPr>
        <w:spacing w:before="40" w:after="200"/>
        <w:jc w:val="center"/>
      </w:pPr>
      <w:r>
        <w:rPr>
          <w:rFonts w:ascii="Calibri" w:hAnsi="Calibri" w:eastAsia="Calibri"/>
          <w:b w:val="0"/>
          <w:i/>
          <w:color w:val="555566"/>
          <w:sz w:val="20"/>
        </w:rPr>
        <w:t>Table 7: Capability comparison against four representative baselines. Cells reflect behaviour observed during a single representative session in April 2026; results may drift as baselines evolve.</w:t>
      </w:r>
    </w:p>
    <w:p>
      <w:pPr>
        <w:keepNext/>
        <w:spacing w:before="200" w:after="120"/>
      </w:pPr>
      <w:r>
        <w:rPr>
          <w:rFonts w:ascii="Calibri" w:hAnsi="Calibri" w:eastAsia="Calibri"/>
          <w:b/>
          <w:i w:val="0"/>
          <w:color w:val="1E2761"/>
          <w:sz w:val="26"/>
        </w:rPr>
        <w:t>5.3  Behavioural Observations</w:t>
      </w:r>
    </w:p>
    <w:p>
      <w:pPr>
        <w:spacing w:before="0" w:after="160" w:line="240" w:lineRule="auto"/>
        <w:jc w:val="both"/>
      </w:pPr>
      <w:r>
        <w:rPr>
          <w:rFonts w:ascii="Calibri" w:hAnsi="Calibri" w:eastAsia="Calibri"/>
          <w:b w:val="0"/>
          <w:i w:val="0"/>
          <w:sz w:val="22"/>
        </w:rPr>
        <w:t>Five behaviours emerged consistently during informal scenario walkthroughs and from the iteration loop that hardened the implementation:</w:t>
      </w:r>
    </w:p>
    <w:p>
      <w:pPr>
        <w:pStyle w:val="ListBullet"/>
        <w:spacing w:after="60"/>
        <w:ind w:left="432"/>
      </w:pPr>
      <w:r>
        <w:rPr>
          <w:rFonts w:ascii="Calibri" w:hAnsi="Calibri" w:eastAsia="Calibri"/>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Calibri" w:hAnsi="Calibri" w:eastAsia="Calibri"/>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Calibri" w:hAnsi="Calibri" w:eastAsia="Calibri"/>
          <w:b w:val="0"/>
          <w:i w:val="0"/>
          <w:sz w:val="22"/>
        </w:rPr>
        <w:t>Lifecycle reinforces the purchase. Scene 5 changes the perceived value of the assistant from a transactional tool to a daily routine. The Iter B personalisation pass added ten distinct dashboards keyed to elicited preferences — a single user no longer sees a soccer-practice schedule designed for parents.</w:t>
      </w:r>
    </w:p>
    <w:p>
      <w:pPr>
        <w:pStyle w:val="ListBullet"/>
        <w:spacing w:after="60"/>
        <w:ind w:left="432"/>
      </w:pPr>
      <w:r>
        <w:rPr>
          <w:rFonts w:ascii="Calibri" w:hAnsi="Calibri" w:eastAsia="Calibri"/>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Calibri" w:hAnsi="Calibri" w:eastAsia="Calibri"/>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Calibri" w:hAnsi="Calibri" w:eastAsia="Calibri"/>
          <w:b w:val="0"/>
          <w:i w:val="0"/>
          <w:sz w:val="22"/>
        </w:rPr>
        <w:t>These observations are qualitative; a quantitative study (decision-time, perceived transparency, post-purchase regret on a Likert scale) is left as future work — see Section 6.</w:t>
      </w:r>
    </w:p>
    <w:p>
      <w:r>
        <w:br w:type="page"/>
      </w:r>
    </w:p>
    <w:p>
      <w:pPr>
        <w:keepNext/>
        <w:spacing w:before="280" w:after="120"/>
      </w:pPr>
      <w:r>
        <w:rPr>
          <w:rFonts w:ascii="Calibri" w:hAnsi="Calibri" w:eastAsia="Calibri"/>
          <w:b/>
          <w:i w:val="0"/>
          <w:color w:val="1E2761"/>
          <w:sz w:val="32"/>
        </w:rPr>
        <w:t>6.  Conclusions and Impact</w:t>
      </w:r>
    </w:p>
    <w:p>
      <w:pPr>
        <w:spacing w:before="0" w:after="160" w:line="240" w:lineRule="auto"/>
        <w:jc w:val="both"/>
      </w:pPr>
      <w:r>
        <w:rPr>
          <w:rFonts w:ascii="Calibri" w:hAnsi="Calibri" w:eastAsia="Calibri"/>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Calibri" w:hAnsi="Calibri" w:eastAsia="Calibri"/>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Calibri" w:hAnsi="Calibri" w:eastAsia="Calibri"/>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Calibri" w:hAnsi="Calibri" w:eastAsia="Calibri"/>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280" w:after="120"/>
      </w:pPr>
      <w:r>
        <w:rPr>
          <w:rFonts w:ascii="Calibri" w:hAnsi="Calibri" w:eastAsia="Calibri"/>
          <w:b/>
          <w:i w:val="0"/>
          <w:color w:val="1E2761"/>
          <w:sz w:val="32"/>
        </w:rPr>
        <w:t>7.  Contributions</w:t>
      </w:r>
    </w:p>
    <w:p>
      <w:pPr>
        <w:keepNext/>
        <w:spacing w:before="200" w:after="120"/>
      </w:pPr>
      <w:r>
        <w:rPr>
          <w:rFonts w:ascii="Calibri" w:hAnsi="Calibri" w:eastAsia="Calibri"/>
          <w:b/>
          <w:i w:val="0"/>
          <w:color w:val="1E2761"/>
          <w:sz w:val="26"/>
        </w:rPr>
        <w:t>7.1  Team Members</w:t>
      </w:r>
    </w:p>
    <w:p>
      <w:pPr>
        <w:spacing w:before="0" w:after="160" w:line="240" w:lineRule="auto"/>
        <w:jc w:val="both"/>
      </w:pPr>
      <w:r>
        <w:rPr>
          <w:rFonts w:ascii="Calibri" w:hAnsi="Calibri" w:eastAsia="Calibri"/>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normaliser,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Calibri" w:hAnsi="Calibri" w:eastAsia="Calibri"/>
          <w:b/>
          <w:i w:val="0"/>
          <w:color w:val="1E2761"/>
          <w:sz w:val="26"/>
        </w:rPr>
        <w:t>7.2  AI Tool Contributions</w:t>
      </w:r>
    </w:p>
    <w:p>
      <w:pPr>
        <w:spacing w:before="0" w:after="160" w:line="240" w:lineRule="auto"/>
        <w:jc w:val="both"/>
      </w:pPr>
      <w:r>
        <w:rPr>
          <w:rFonts w:ascii="Calibri" w:hAnsi="Calibri" w:eastAsia="Calibri"/>
          <w:b w:val="0"/>
          <w:i w:val="0"/>
          <w:sz w:val="22"/>
        </w:rPr>
        <w:t>Three categories of AI assistance were used during the project.</w:t>
      </w:r>
    </w:p>
    <w:p>
      <w:pPr>
        <w:pStyle w:val="ListBullet"/>
        <w:spacing w:after="60"/>
        <w:ind w:left="432"/>
      </w:pPr>
      <w:r>
        <w:rPr>
          <w:rFonts w:ascii="Calibri" w:hAnsi="Calibri" w:eastAsia="Calibri"/>
          <w:b w:val="0"/>
          <w:i w:val="0"/>
          <w:sz w:val="22"/>
        </w:rPr>
        <w:t>Claude (Anthropic, Opus 4.6)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w:t>
      </w:r>
    </w:p>
    <w:p>
      <w:pPr>
        <w:pStyle w:val="ListBullet"/>
        <w:spacing w:after="60"/>
        <w:ind w:left="432"/>
      </w:pPr>
      <w:r>
        <w:rPr>
          <w:rFonts w:ascii="Calibri" w:hAnsi="Calibri" w:eastAsia="Calibri"/>
          <w:b w:val="0"/>
          <w:i w:val="0"/>
          <w:sz w:val="22"/>
        </w:rPr>
        <w:t>Claude Code (the agent CLI) was used as an authoring assistant during implementation: scaffolding components, drafting test cases, and pair-coding the recommendation engine.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Calibri" w:hAnsi="Calibri" w:eastAsia="Calibri"/>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Calibri" w:hAnsi="Calibri" w:eastAsia="Calibri"/>
          <w:b w:val="0"/>
          <w:i w:val="0"/>
          <w:sz w:val="22"/>
        </w:rPr>
        <w:t>All AI contributions are disclosed in the spirit of the project's own transparency norm: the same explainability discipline that the system applies to its recommendations is applied here to its construction.</w:t>
      </w:r>
    </w:p>
    <w:p>
      <w:r>
        <w:br w:type="page"/>
      </w:r>
    </w:p>
    <w:p>
      <w:pPr>
        <w:keepNext/>
        <w:spacing w:before="280" w:after="120"/>
      </w:pPr>
      <w:r>
        <w:rPr>
          <w:rFonts w:ascii="Calibri" w:hAnsi="Calibri" w:eastAsia="Calibri"/>
          <w:b/>
          <w:i w:val="0"/>
          <w:color w:val="1E2761"/>
          <w:sz w:val="32"/>
        </w:rPr>
        <w:t>8.  References</w:t>
      </w:r>
    </w:p>
    <w:p>
      <w:pPr>
        <w:spacing w:after="60"/>
        <w:ind w:left="576" w:hanging="576"/>
      </w:pPr>
      <w:r>
        <w:rPr>
          <w:rFonts w:ascii="Calibri" w:hAnsi="Calibri" w:eastAsia="Calibri"/>
          <w:b w:val="0"/>
          <w:i w:val="0"/>
          <w:sz w:val="21"/>
        </w:rPr>
        <w:t>[1]  P. Resnick and H. R. Varian, “Recommender systems,” Communications of the ACM, vol. 40, no. 3, pp. 56–58, 1997.</w:t>
      </w:r>
    </w:p>
    <w:p>
      <w:pPr>
        <w:spacing w:after="60"/>
        <w:ind w:left="576" w:hanging="576"/>
      </w:pPr>
      <w:r>
        <w:rPr>
          <w:rFonts w:ascii="Calibri" w:hAnsi="Calibri" w:eastAsia="Calibri"/>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Calibri" w:hAnsi="Calibri" w:eastAsia="Calibri"/>
          <w:b w:val="0"/>
          <w:i w:val="0"/>
          <w:sz w:val="21"/>
        </w:rPr>
        <w:t>[3]  M. de Gemmis et al., “Semantics-aware content-based recommender systems,” in Recommender Systems Handbook, Springer, 2015, pp. 119–159.</w:t>
      </w:r>
    </w:p>
    <w:p>
      <w:pPr>
        <w:spacing w:after="60"/>
        <w:ind w:left="576" w:hanging="576"/>
      </w:pPr>
      <w:r>
        <w:rPr>
          <w:rFonts w:ascii="Calibri" w:hAnsi="Calibri" w:eastAsia="Calibri"/>
          <w:b w:val="0"/>
          <w:i w:val="0"/>
          <w:sz w:val="21"/>
        </w:rPr>
        <w:t>[4]  J. Nielsen, “Search: Visible and simple,” Nielsen Norman Group, 2015. [Online]. Available: https://www.nngroup.com/articles/search-visible-simple/</w:t>
      </w:r>
    </w:p>
    <w:p>
      <w:pPr>
        <w:spacing w:after="60"/>
        <w:ind w:left="576" w:hanging="576"/>
      </w:pPr>
      <w:r>
        <w:rPr>
          <w:rFonts w:ascii="Calibri" w:hAnsi="Calibri" w:eastAsia="Calibri"/>
          <w:b w:val="0"/>
          <w:i w:val="0"/>
          <w:sz w:val="21"/>
        </w:rPr>
        <w:t>[5]  Baymard Institute, “49 Cart abandonment rate statistics,” Baymard Institute, 2024. [Online]. Available: https://baymard.com/lists/cart-abandonment-rate</w:t>
      </w:r>
    </w:p>
    <w:p>
      <w:pPr>
        <w:spacing w:after="60"/>
        <w:ind w:left="576" w:hanging="576"/>
      </w:pPr>
      <w:r>
        <w:rPr>
          <w:rFonts w:ascii="Calibri" w:hAnsi="Calibri" w:eastAsia="Calibri"/>
          <w:b w:val="0"/>
          <w:i w:val="0"/>
          <w:sz w:val="21"/>
        </w:rPr>
        <w:t>[6]  D. Kahneman, Thinking, Fast and Slow. New York, NY, USA: Farrar, Straus and Giroux, 2011, ch. on choice fatigue.</w:t>
      </w:r>
    </w:p>
    <w:p>
      <w:pPr>
        <w:spacing w:after="60"/>
        <w:ind w:left="576" w:hanging="576"/>
      </w:pPr>
      <w:r>
        <w:rPr>
          <w:rFonts w:ascii="Calibri" w:hAnsi="Calibri" w:eastAsia="Calibri"/>
          <w:b w:val="0"/>
          <w:i w:val="0"/>
          <w:sz w:val="21"/>
        </w:rPr>
        <w:t>[7]  R. C. Reardon, J. P. Sampson, and G. W. Peterson, “Career interventions and post-purchase regret,” Journal of Career Development, vol. 26, no. 3, pp. 197–211, 2000.</w:t>
      </w:r>
    </w:p>
    <w:p>
      <w:pPr>
        <w:spacing w:after="60"/>
        <w:ind w:left="576" w:hanging="576"/>
      </w:pPr>
      <w:r>
        <w:rPr>
          <w:rFonts w:ascii="Calibri" w:hAnsi="Calibri" w:eastAsia="Calibri"/>
          <w:b w:val="0"/>
          <w:i w:val="0"/>
          <w:sz w:val="21"/>
        </w:rPr>
        <w:t>[8]  Amazon, “Amazon Rufus product overview,” Amazon Inc., 2024. [Online]. Available: https://www.aboutamazon.com/news/retail/amazon-rufus</w:t>
      </w:r>
    </w:p>
    <w:p>
      <w:pPr>
        <w:spacing w:after="60"/>
        <w:ind w:left="576" w:hanging="576"/>
      </w:pPr>
      <w:r>
        <w:rPr>
          <w:rFonts w:ascii="Calibri" w:hAnsi="Calibri" w:eastAsia="Calibri"/>
          <w:b w:val="0"/>
          <w:i w:val="0"/>
          <w:sz w:val="21"/>
        </w:rPr>
        <w:t>[9]  OpenAI, “Introducing ChatGPT shopping,” OpenAI Blog, Nov. 2024. [Online]. Available: https://openai.com/blog/chatgpt-shopping</w:t>
      </w:r>
    </w:p>
    <w:p>
      <w:pPr>
        <w:spacing w:after="60"/>
        <w:ind w:left="576" w:hanging="576"/>
      </w:pPr>
      <w:r>
        <w:rPr>
          <w:rFonts w:ascii="Calibri" w:hAnsi="Calibri" w:eastAsia="Calibri"/>
          <w:b w:val="0"/>
          <w:i w:val="0"/>
          <w:sz w:val="21"/>
        </w:rPr>
        <w:t>[10] X. Chen et al., “Towards conversational recommendation: A survey,” ACM Computing Surveys, vol. 55, no. 9, pp. 1–37, 2023.</w:t>
      </w:r>
    </w:p>
    <w:p>
      <w:pPr>
        <w:spacing w:after="60"/>
        <w:ind w:left="576" w:hanging="576"/>
      </w:pPr>
      <w:r>
        <w:rPr>
          <w:rFonts w:ascii="Calibri" w:hAnsi="Calibri" w:eastAsia="Calibri"/>
          <w:b w:val="0"/>
          <w:i w:val="0"/>
          <w:sz w:val="21"/>
        </w:rPr>
        <w:t>[11] B. Shneiderman, Designing the User Interface: Strategies for Effective Human–Computer Interaction, 6th ed. Boston, MA, USA: Pearson, 2016.</w:t>
      </w:r>
    </w:p>
    <w:p>
      <w:pPr>
        <w:spacing w:after="60"/>
        <w:ind w:left="576" w:hanging="576"/>
      </w:pPr>
      <w:r>
        <w:rPr>
          <w:rFonts w:ascii="Calibri" w:hAnsi="Calibri" w:eastAsia="Calibri"/>
          <w:b w:val="0"/>
          <w:i w:val="0"/>
          <w:sz w:val="21"/>
        </w:rPr>
        <w:t>[12] Perplexity AI, “Perplexity Pages and shopping,” Perplexity AI, 2024. [Online]. Available: https://www.perplexity.ai</w:t>
      </w:r>
    </w:p>
    <w:p>
      <w:pPr>
        <w:spacing w:after="60"/>
        <w:ind w:left="576" w:hanging="576"/>
      </w:pPr>
      <w:r>
        <w:rPr>
          <w:rFonts w:ascii="Calibri" w:hAnsi="Calibri" w:eastAsia="Calibri"/>
          <w:b w:val="0"/>
          <w:i w:val="0"/>
          <w:sz w:val="21"/>
        </w:rPr>
        <w:t>[13] F. Ricci, L. Rokach, and B. Shapira, Eds., Recommender Systems Handbook, 3rd ed. New York, NY, USA: Springer, 2022.</w:t>
      </w:r>
    </w:p>
    <w:p>
      <w:pPr>
        <w:spacing w:after="60"/>
        <w:ind w:left="576" w:hanging="576"/>
      </w:pPr>
      <w:r>
        <w:rPr>
          <w:rFonts w:ascii="Calibri" w:hAnsi="Calibri" w:eastAsia="Calibri"/>
          <w:b w:val="0"/>
          <w:i w:val="0"/>
          <w:sz w:val="21"/>
        </w:rPr>
        <w:t>[14] Y. Zhang and X. Chen, “Explainable recommendation: A survey and new perspectives,” Foundations and Trends in Information Retrieval, vol. 14, no. 1, pp. 1–101, 2020.</w:t>
      </w:r>
    </w:p>
    <w:p>
      <w:pPr>
        <w:spacing w:after="60"/>
        <w:ind w:left="576" w:hanging="576"/>
      </w:pPr>
      <w:r>
        <w:rPr>
          <w:rFonts w:ascii="Calibri" w:hAnsi="Calibri" w:eastAsia="Calibri"/>
          <w:b w:val="0"/>
          <w:i w:val="0"/>
          <w:sz w:val="21"/>
        </w:rPr>
        <w:t>[15] T. Miller, “Explanation in artificial intelligence: Insights from the social sciences,” Artificial Intelligence, vol. 267, pp. 1–38, 2019.</w:t>
      </w:r>
    </w:p>
    <w:p>
      <w:pPr>
        <w:spacing w:after="60"/>
        <w:ind w:left="576" w:hanging="576"/>
      </w:pPr>
      <w:r>
        <w:rPr>
          <w:rFonts w:ascii="Calibri" w:hAnsi="Calibri" w:eastAsia="Calibri"/>
          <w:b w:val="0"/>
          <w:i w:val="0"/>
          <w:sz w:val="21"/>
        </w:rPr>
        <w:t>[16] Anthropic, “Claude Opus 4.6 model card,” Anthropic, 2026. [Online]. Available: https://www.anthropic.com</w:t>
      </w:r>
    </w:p>
    <w:p>
      <w:pPr>
        <w:spacing w:after="60"/>
        <w:ind w:left="576" w:hanging="576"/>
      </w:pPr>
      <w:r>
        <w:rPr>
          <w:rFonts w:ascii="Calibri" w:hAnsi="Calibri" w:eastAsia="Calibri"/>
          <w:b w:val="0"/>
          <w:i w:val="0"/>
          <w:sz w:val="21"/>
        </w:rPr>
        <w:t>[17] Microsoft Playwright, “Playwright for Python documentation,” Microsoft Corp., 2024. [Online]. Available: https://playwright.dev/python/</w:t>
      </w:r>
    </w:p>
    <w:p>
      <w:pPr>
        <w:spacing w:after="60"/>
        <w:ind w:left="576" w:hanging="576"/>
      </w:pPr>
      <w:r>
        <w:rPr>
          <w:rFonts w:ascii="Calibri" w:hAnsi="Calibri" w:eastAsia="Calibri"/>
          <w:b w:val="0"/>
          <w:i w:val="0"/>
          <w:sz w:val="21"/>
        </w:rPr>
        <w:t>[18] R. T. Fielding and J. Reschke, “Hypertext Transfer Protocol (HTTP/1.1): Semantics and Content,” IETF RFC 7231, 2014.</w:t>
      </w:r>
    </w:p>
    <w:p>
      <w:r>
        <w:br w:type="page"/>
      </w:r>
    </w:p>
    <w:p>
      <w:pPr>
        <w:keepNext/>
        <w:spacing w:before="280" w:after="120"/>
      </w:pPr>
      <w:r>
        <w:rPr>
          <w:rFonts w:ascii="Calibri" w:hAnsi="Calibri" w:eastAsia="Calibri"/>
          <w:b/>
          <w:i w:val="0"/>
          <w:color w:val="1E2761"/>
          <w:sz w:val="32"/>
        </w:rPr>
        <w:t>9.  Appendix — Code Listings</w:t>
      </w:r>
    </w:p>
    <w:p>
      <w:pPr>
        <w:keepNext/>
        <w:spacing w:before="200" w:after="120"/>
      </w:pPr>
      <w:r>
        <w:rPr>
          <w:rFonts w:ascii="Calibri" w:hAnsi="Calibri" w:eastAsia="Calibri"/>
          <w:b/>
          <w:i w:val="0"/>
          <w:color w:val="1E2761"/>
          <w:sz w:val="26"/>
        </w:rPr>
        <w:t>9.1  ETL Pipeline Orchestrator (run_pipeline.py — excerpt)</w:t>
      </w:r>
    </w:p>
    <w:p>
      <w:pPr>
        <w:spacing w:before="0" w:after="0"/>
        <w:ind w:left="432"/>
      </w:pPr>
      <w:r>
        <w:rPr>
          <w:rFonts w:ascii="Consolas" w:hAnsi="Consolas" w:eastAsia="Consolas"/>
          <w:sz w:val="18"/>
        </w:rPr>
        <w:t>def run_pipeline(categories: list[str]) -&gt; dict:</w:t>
      </w:r>
    </w:p>
    <w:p>
      <w:pPr>
        <w:spacing w:before="0" w:after="0"/>
        <w:ind w:left="432"/>
      </w:pPr>
      <w:r>
        <w:rPr>
          <w:rFonts w:ascii="Consolas" w:hAnsi="Consolas" w:eastAsia="Consolas"/>
          <w:sz w:val="18"/>
        </w:rPr>
        <w:t xml:space="preserve">    """Drive scrapers, then normalize. Always continues on per-source failure."""</w:t>
      </w:r>
    </w:p>
    <w:p>
      <w:pPr>
        <w:spacing w:before="0" w:after="0"/>
        <w:ind w:left="432"/>
      </w:pPr>
      <w:r>
        <w:rPr>
          <w:rFonts w:ascii="Consolas" w:hAnsi="Consolas" w:eastAsia="Consolas"/>
          <w:sz w:val="18"/>
        </w:rPr>
        <w:t xml:space="preserve">    raw = {}</w:t>
      </w:r>
    </w:p>
    <w:p>
      <w:pPr>
        <w:spacing w:before="0" w:after="0"/>
        <w:ind w:left="432"/>
      </w:pPr>
      <w:r>
        <w:rPr>
          <w:rFonts w:ascii="Consolas" w:hAnsi="Consolas" w:eastAsia="Consolas"/>
          <w:sz w:val="18"/>
        </w:rPr>
        <w:t xml:space="preserve">    for cat in categories:</w:t>
      </w:r>
    </w:p>
    <w:p>
      <w:pPr>
        <w:spacing w:before="0" w:after="0"/>
        <w:ind w:left="432"/>
      </w:pPr>
      <w:r>
        <w:rPr>
          <w:rFonts w:ascii="Consolas" w:hAnsi="Consolas" w:eastAsia="Consolas"/>
          <w:sz w:val="18"/>
        </w:rPr>
        <w:t xml:space="preserve">        for src in SOURCE_BY_CATEGORY[cat]:</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raw.setdefault(cat, []).extend(SCRAPERS[src](cat))</w:t>
      </w:r>
    </w:p>
    <w:p>
      <w:pPr>
        <w:spacing w:before="0" w:after="0"/>
        <w:ind w:left="432"/>
      </w:pPr>
      <w:r>
        <w:rPr>
          <w:rFonts w:ascii="Consolas" w:hAnsi="Consolas" w:eastAsia="Consolas"/>
          <w:sz w:val="18"/>
        </w:rPr>
        <w:t xml:space="preserve">            except Exception as e:</w:t>
      </w:r>
    </w:p>
    <w:p>
      <w:pPr>
        <w:spacing w:before="0" w:after="0"/>
        <w:ind w:left="432"/>
      </w:pPr>
      <w:r>
        <w:rPr>
          <w:rFonts w:ascii="Consolas" w:hAnsi="Consolas" w:eastAsia="Consolas"/>
          <w:sz w:val="18"/>
        </w:rPr>
        <w:t xml:space="preserve">                logger.warning("scraper %s/%s failed: %s", src, cat, e)</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return normalize.run(raw)</w:t>
      </w:r>
    </w:p>
    <w:p>
      <w:pPr>
        <w:spacing w:before="40" w:after="200"/>
        <w:jc w:val="center"/>
      </w:pPr>
      <w:r>
        <w:rPr>
          <w:rFonts w:ascii="Calibri" w:hAnsi="Calibri" w:eastAsia="Calibri"/>
          <w:b w:val="0"/>
          <w:i/>
          <w:color w:val="555566"/>
          <w:sz w:val="20"/>
        </w:rPr>
        <w:t>Listing 1: Top-level pipeline orchestration. Scrapes each category from each source, tolerates per-source failures, then defers to the normalizer for canonicalization.</w:t>
      </w:r>
    </w:p>
    <w:p>
      <w:pPr>
        <w:keepNext/>
        <w:spacing w:before="200" w:after="120"/>
      </w:pPr>
      <w:r>
        <w:rPr>
          <w:rFonts w:ascii="Calibri" w:hAnsi="Calibri" w:eastAsia="Calibri"/>
          <w:b/>
          <w:i w:val="0"/>
          <w:color w:val="1E2761"/>
          <w:sz w:val="26"/>
        </w:rPr>
        <w:t>9.2  Delivery Normalisation (normalize.py — excerpt)</w:t>
      </w:r>
    </w:p>
    <w:p>
      <w:pPr>
        <w:spacing w:before="0" w:after="0"/>
        <w:ind w:left="432"/>
      </w:pPr>
      <w:r>
        <w:rPr>
          <w:rFonts w:ascii="Consolas" w:hAnsi="Consolas" w:eastAsia="Consolas"/>
          <w:sz w:val="18"/>
        </w:rPr>
        <w:t>def parse_delivery(text: str | None) -&gt; int | None:</w:t>
      </w:r>
    </w:p>
    <w:p>
      <w:pPr>
        <w:spacing w:before="0" w:after="0"/>
        <w:ind w:left="432"/>
      </w:pPr>
      <w:r>
        <w:rPr>
          <w:rFonts w:ascii="Consolas" w:hAnsi="Consolas" w:eastAsia="Consolas"/>
          <w:sz w:val="18"/>
        </w:rPr>
        <w:t xml:space="preserve">    """'Get it Tue, May 21' → days from today, else None."""</w:t>
      </w:r>
    </w:p>
    <w:p>
      <w:pPr>
        <w:spacing w:before="0" w:after="0"/>
        <w:ind w:left="432"/>
      </w:pPr>
      <w:r>
        <w:rPr>
          <w:rFonts w:ascii="Consolas" w:hAnsi="Consolas" w:eastAsia="Consolas"/>
          <w:sz w:val="18"/>
        </w:rPr>
        <w:t xml:space="preserve">    if not text:</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m = DATE_RE.search(text)</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target = parse_date(m.group(1))</w:t>
      </w:r>
    </w:p>
    <w:p>
      <w:pPr>
        <w:spacing w:before="0" w:after="0"/>
        <w:ind w:left="432"/>
      </w:pPr>
      <w:r>
        <w:rPr>
          <w:rFonts w:ascii="Consolas" w:hAnsi="Consolas" w:eastAsia="Consolas"/>
          <w:sz w:val="18"/>
        </w:rPr>
        <w:t xml:space="preserve">    return max(0, (target - date.today()).days)</w:t>
      </w:r>
    </w:p>
    <w:p>
      <w:pPr>
        <w:spacing w:before="40" w:after="200"/>
        <w:jc w:val="center"/>
      </w:pPr>
      <w:r>
        <w:rPr>
          <w:rFonts w:ascii="Calibri" w:hAnsi="Calibri" w:eastAsia="Calibri"/>
          <w:b w:val="0"/>
          <w:i/>
          <w:color w:val="555566"/>
          <w:sz w:val="20"/>
        </w:rPr>
        <w:t>Listing 2: Delivery-string parser. Returns None on unparseable text; the ranker treats None as a neutral 0.5 sub-score so missing data does not bias ranking.</w:t>
      </w:r>
    </w:p>
    <w:p>
      <w:pPr>
        <w:keepNext/>
        <w:spacing w:before="200" w:after="120"/>
      </w:pPr>
      <w:r>
        <w:rPr>
          <w:rFonts w:ascii="Calibri" w:hAnsi="Calibri" w:eastAsia="Calibri"/>
          <w:b/>
          <w:i w:val="0"/>
          <w:color w:val="1E2761"/>
          <w:sz w:val="26"/>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Calibri" w:hAnsi="Calibri" w:eastAsia="Calibri"/>
          <w:b w:val="0"/>
          <w:i/>
          <w:color w:val="555566"/>
          <w:sz w:val="20"/>
        </w:rPr>
        <w:t>Listing 3: Three-tier fallback. Each tier relaxes one constraint; the ranker never returns an empty list as long as the dataset is non-empty.</w:t>
      </w:r>
    </w:p>
    <w:p>
      <w:pPr>
        <w:keepNext/>
        <w:spacing w:before="200" w:after="120"/>
      </w:pPr>
      <w:r>
        <w:rPr>
          <w:rFonts w:ascii="Calibri" w:hAnsi="Calibri" w:eastAsia="Calibri"/>
          <w:b/>
          <w:i w:val="0"/>
          <w:color w:val="1E2761"/>
          <w:sz w:val="26"/>
        </w:rPr>
        <w:t>9.4  Scoring Rule (water_bottle gym example)</w:t>
      </w:r>
    </w:p>
    <w:p>
      <w:pPr>
        <w:spacing w:before="0" w:after="0"/>
        <w:ind w:left="432"/>
      </w:pPr>
      <w:r>
        <w:rPr>
          <w:rFonts w:ascii="Consolas" w:hAnsi="Consolas" w:eastAsia="Consolas"/>
          <w:sz w:val="18"/>
        </w:rPr>
        <w:t>def _score_water_bottle(product, prefs, features):</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if prefs.get("use_case")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if prefs.get("insulated"):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return score, matches</w:t>
      </w:r>
    </w:p>
    <w:p>
      <w:pPr>
        <w:spacing w:before="40" w:after="200"/>
        <w:jc w:val="center"/>
      </w:pPr>
      <w:r>
        <w:rPr>
          <w:rFonts w:ascii="Calibri" w:hAnsi="Calibri" w:eastAsia="Calibri"/>
          <w:b w:val="0"/>
          <w:i/>
          <w:color w:val="555566"/>
          <w:sz w:val="20"/>
        </w:rPr>
        <w:t>Listing 4: Category-specific scoring for the water-bottle gym use case. Bonuses are +0.10 per matched rule; soft penalties are −0.05 per missed rule the user requested.</w:t>
      </w:r>
    </w:p>
    <w:p>
      <w:pPr>
        <w:keepNext/>
        <w:spacing w:before="200" w:after="120"/>
      </w:pPr>
      <w:r>
        <w:rPr>
          <w:rFonts w:ascii="Calibri" w:hAnsi="Calibri" w:eastAsia="Calibri"/>
          <w:b/>
          <w:i w:val="0"/>
          <w:color w:val="1E2761"/>
          <w:sz w:val="26"/>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     # graceful degradation</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category in ("unknown", ""):</w:t>
      </w:r>
    </w:p>
    <w:p>
      <w:pPr>
        <w:spacing w:before="0" w:after="0"/>
        <w:ind w:left="432"/>
      </w:pPr>
      <w:r>
        <w:rPr>
          <w:rFonts w:ascii="Consolas" w:hAnsi="Consolas" w:eastAsia="Consolas"/>
          <w:sz w:val="18"/>
        </w:rPr>
        <w:t xml:space="preserve">        return {"session_id": s["session_id"], "category": None,</w:t>
      </w:r>
    </w:p>
    <w:p>
      <w:pPr>
        <w:spacing w:before="0" w:after="0"/>
        <w:ind w:left="432"/>
      </w:pPr>
      <w:r>
        <w:rPr>
          <w:rFonts w:ascii="Consolas" w:hAnsi="Consolas" w:eastAsia="Consolas"/>
          <w:sz w:val="18"/>
        </w:rPr>
        <w:t xml:space="preserve">                "next_question": None, "chips": CATEGORY_CHIPS}</w:t>
      </w:r>
    </w:p>
    <w:p>
      <w:pPr>
        <w:spacing w:before="0" w:after="0"/>
        <w:ind w:left="432"/>
      </w:pPr>
      <w:r>
        <w:rPr>
          <w:rFonts w:ascii="Consolas" w:hAnsi="Consolas" w:eastAsia="Consolas"/>
          <w:sz w:val="18"/>
        </w:rPr>
        <w:t xml:space="preserve">    return {"session_id": s["session_id"], "category": category,</w:t>
      </w:r>
    </w:p>
    <w:p>
      <w:pPr>
        <w:spacing w:before="0" w:after="0"/>
        <w:ind w:left="432"/>
      </w:pPr>
      <w:r>
        <w:rPr>
          <w:rFonts w:ascii="Consolas" w:hAnsi="Consolas" w:eastAsia="Consolas"/>
          <w:sz w:val="18"/>
        </w:rPr>
        <w:t xml:space="preserve">            "next_question": _next_question(s), "chips": None}</w:t>
      </w:r>
    </w:p>
    <w:p>
      <w:pPr>
        <w:spacing w:before="40" w:after="200"/>
        <w:jc w:val="center"/>
      </w:pPr>
      <w:r>
        <w:rPr>
          <w:rFonts w:ascii="Calibri" w:hAnsi="Calibri" w:eastAsia="Calibri"/>
          <w:b w:val="0"/>
          <w:i/>
          <w:color w:val="555566"/>
          <w:sz w:val="20"/>
        </w:rPr>
        <w:t>Listing 5: Session-start endpoint. The try/except keeps the demo functional when no Anthropic API key is available — chip selection becomes the fallback path.</w:t>
      </w:r>
    </w:p>
    <w:p>
      <w:pPr>
        <w:keepNext/>
        <w:spacing w:before="200" w:after="120"/>
      </w:pPr>
      <w:r>
        <w:rPr>
          <w:rFonts w:ascii="Calibri" w:hAnsi="Calibri" w:eastAsia="Calibri"/>
          <w:b/>
          <w:i w:val="0"/>
          <w:color w:val="1E2761"/>
          <w:sz w:val="26"/>
        </w:rPr>
        <w:t>9.6  Trust Boundary in the Recommendation Pipeline</w:t>
      </w:r>
    </w:p>
    <w:p>
      <w:pPr>
        <w:spacing w:before="0" w:after="0"/>
        <w:ind w:left="432"/>
      </w:pPr>
      <w:r>
        <w:rPr>
          <w:rFonts w:ascii="Consolas" w:hAnsi="Consolas" w:eastAsia="Consolas"/>
          <w:sz w:val="18"/>
        </w:rPr>
        <w:t>def _run_recommendations(session: dict) -&gt; list[dict]:</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products = engine.recommend_products(prefs, top_n=12)   # deterministic</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[p.get("_explanation", "") for p in products]  # fallback</w:t>
      </w:r>
    </w:p>
    <w:p>
      <w:pPr>
        <w:spacing w:before="0" w:after="0"/>
        <w:ind w:left="432"/>
      </w:pPr>
      <w:r>
        <w:rPr>
          <w:rFonts w:ascii="Consolas" w:hAnsi="Consolas" w:eastAsia="Consolas"/>
          <w:sz w:val="18"/>
        </w:rPr>
        <w:t xml:space="preserve">    return [_format_product(p, explanations[i]) for i, p in enumerate(products)]</w:t>
      </w:r>
    </w:p>
    <w:p>
      <w:pPr>
        <w:spacing w:before="40" w:after="200"/>
        <w:jc w:val="center"/>
      </w:pPr>
      <w:r>
        <w:rPr>
          <w:rFonts w:ascii="Calibri" w:hAnsi="Calibri" w:eastAsia="Calibri"/>
          <w:b w:val="0"/>
          <w:i/>
          <w:color w:val="555566"/>
          <w:sz w:val="20"/>
        </w:rPr>
        <w:t>Listing 6: Where the trust boundary lives in code. Ranking is a pure function call; explanation generation is best-effort and gracefully falls back to the deterministic explainer.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