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Age</w:t>
      </w:r>
      <w:r>
        <w:drawing>
          <wp:anchor distT="0" distB="0" distL="152400" distR="152400" simplePos="0" relativeHeight="251662336" behindDoc="0" locked="0" layoutInCell="1" allowOverlap="1">
            <wp:simplePos x="0" y="0"/>
            <wp:positionH relativeFrom="margin">
              <wp:posOffset>1376855</wp:posOffset>
            </wp:positionH>
            <wp:positionV relativeFrom="line">
              <wp:posOffset>3423495</wp:posOffset>
            </wp:positionV>
            <wp:extent cx="4572000" cy="4551847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&lt;26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26-45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45-59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&gt;=60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Gender</w:t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Female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45%</w:t>
            </w:r>
          </w:p>
        </w:tc>
        <w:tc>
          <w:tcPr>
            <w:tcW w:type="dxa" w:w="321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  <w:r>
        <w:drawing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959003</wp:posOffset>
            </wp:positionH>
            <wp:positionV relativeFrom="line">
              <wp:posOffset>842480</wp:posOffset>
            </wp:positionV>
            <wp:extent cx="5136642" cy="4033267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Region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0"/>
        <w:gridCol w:w="873"/>
        <w:gridCol w:w="760"/>
        <w:gridCol w:w="756"/>
        <w:gridCol w:w="835"/>
        <w:gridCol w:w="888"/>
        <w:gridCol w:w="1048"/>
        <w:gridCol w:w="851"/>
        <w:gridCol w:w="711"/>
        <w:gridCol w:w="1022"/>
        <w:gridCol w:w="938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France</w:t>
            </w:r>
          </w:p>
        </w:tc>
        <w:tc>
          <w:tcPr>
            <w:tcW w:type="dxa" w:w="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USA</w:t>
            </w:r>
          </w:p>
        </w:tc>
        <w:tc>
          <w:tcPr>
            <w:tcW w:type="dxa" w:w="7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UK</w:t>
            </w:r>
          </w:p>
        </w:tc>
        <w:tc>
          <w:tcPr>
            <w:tcW w:type="dxa" w:w="8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Italy</w:t>
            </w:r>
          </w:p>
        </w:tc>
        <w:tc>
          <w:tcPr>
            <w:tcW w:type="dxa" w:w="8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Spain</w:t>
            </w:r>
          </w:p>
        </w:tc>
        <w:tc>
          <w:tcPr>
            <w:tcW w:type="dxa" w:w="1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Germany</w:t>
            </w:r>
          </w:p>
        </w:tc>
        <w:tc>
          <w:tcPr>
            <w:tcW w:type="dxa" w:w="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Japan</w:t>
            </w:r>
          </w:p>
        </w:tc>
        <w:tc>
          <w:tcPr>
            <w:tcW w:type="dxa" w:w="7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Brazil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Australia</w:t>
            </w:r>
          </w:p>
        </w:tc>
        <w:tc>
          <w:tcPr>
            <w:tcW w:type="dxa" w:w="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China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87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20%</w:t>
            </w:r>
          </w:p>
        </w:tc>
        <w:tc>
          <w:tcPr>
            <w:tcW w:type="dxa" w:w="75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8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4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22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959fa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873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31%</w:t>
            </w:r>
          </w:p>
        </w:tc>
        <w:tc>
          <w:tcPr>
            <w:tcW w:type="dxa" w:w="75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15%</w:t>
            </w:r>
          </w:p>
        </w:tc>
        <w:tc>
          <w:tcPr>
            <w:tcW w:type="dxa" w:w="75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  <w:tc>
          <w:tcPr>
            <w:tcW w:type="dxa" w:w="83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88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104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85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711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  <w:tc>
          <w:tcPr>
            <w:tcW w:type="dxa" w:w="1022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-</w:t>
            </w:r>
          </w:p>
        </w:tc>
        <w:tc>
          <w:tcPr>
            <w:tcW w:type="dxa" w:w="93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Visitor  Status(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我理解的是参观者的身份</w:t>
      </w:r>
      <w:r>
        <w:rPr>
          <w:rtl w:val="0"/>
        </w:rPr>
        <w:t>)</w:t>
      </w:r>
      <w:r>
        <w:drawing>
          <wp:anchor distT="0" distB="0" distL="152400" distR="152400" simplePos="0" relativeHeight="251663360" behindDoc="0" locked="0" layoutInCell="1" allowOverlap="1">
            <wp:simplePos x="0" y="0"/>
            <wp:positionH relativeFrom="margin">
              <wp:posOffset>1955699</wp:posOffset>
            </wp:positionH>
            <wp:positionV relativeFrom="line">
              <wp:posOffset>903187</wp:posOffset>
            </wp:positionV>
            <wp:extent cx="4572000" cy="404418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anchor>
        </w:drawing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f8ba00"/>
        </w:tblPrEx>
        <w:trPr>
          <w:trHeight w:val="482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Active employment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Students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Retiree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Author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Volume &amp; Satisfaction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Very Satisfied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Satisfied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Dissatisfied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7552000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8349000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8260000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8461000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8450000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8414000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8880000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9720000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34%</w:t>
            </w:r>
          </w:p>
        </w:tc>
        <w:tc>
          <w:tcPr>
            <w:tcW w:type="dxa" w:w="192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Access</w:t>
      </w:r>
    </w:p>
    <w:tbl>
      <w:tblPr>
        <w:tblW w:w="9632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f8ba00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Ticket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VIP card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8ba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Free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2005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2006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2007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2008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2009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2011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36%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2012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12%</w:t>
            </w:r>
          </w:p>
        </w:tc>
        <w:tc>
          <w:tcPr>
            <w:tcW w:type="dxa" w:w="240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8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39%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Volume</w:t>
      </w:r>
      <w: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1235101</wp:posOffset>
            </wp:positionH>
            <wp:positionV relativeFrom="line">
              <wp:posOffset>694943</wp:posOffset>
            </wp:positionV>
            <wp:extent cx="5447284" cy="3781044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1464772</wp:posOffset>
            </wp:positionH>
            <wp:positionV relativeFrom="line">
              <wp:posOffset>5161337</wp:posOffset>
            </wp:positionV>
            <wp:extent cx="4572000" cy="3896811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5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 Neue"/>
              </a:rPr>
              <a:t>Age Percentage</a:t>
            </a:r>
          </a:p>
        </c:rich>
      </c:tx>
      <c:layout>
        <c:manualLayout>
          <c:xMode val="edge"/>
          <c:yMode val="edge"/>
          <c:x val="0.380867"/>
          <c:y val="0.469097"/>
          <c:w val="0.238267"/>
          <c:h val="0.0309029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42667"/>
          <c:y val="0.141085"/>
          <c:w val="0.714667"/>
          <c:h val="0.705331"/>
        </c:manualLayout>
      </c:layout>
      <c:doughnut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Age 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2">
                  <a:hueOff val="260011"/>
                  <a:satOff val="17755"/>
                  <a:lumOff val="-25437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chemeClr val="accent3">
                  <a:hueOff val="362282"/>
                  <a:satOff val="31803"/>
                  <a:lumOff val="-18242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chemeClr val="accent2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Sheet1!$B$1:$E$1</c:f>
              <c:strCache>
                <c:ptCount val="4"/>
                <c:pt idx="0">
                  <c:v>&lt;26</c:v>
                </c:pt>
                <c:pt idx="1">
                  <c:v>26-45</c:v>
                </c:pt>
                <c:pt idx="2">
                  <c:v>45-59</c:v>
                </c:pt>
                <c:pt idx="3">
                  <c:v>&gt;=60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38.125000</c:v>
                </c:pt>
                <c:pt idx="1">
                  <c:v>37.875000</c:v>
                </c:pt>
                <c:pt idx="2">
                  <c:v>16.500000</c:v>
                </c:pt>
                <c:pt idx="3">
                  <c:v>7.500000</c:v>
                </c:pt>
              </c:numCache>
            </c:numRef>
          </c:val>
        </c:ser>
        <c:firstSliceAng val="0"/>
        <c:holeSize val="75"/>
      </c:doughnut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.0218925"/>
          <c:w val="1"/>
          <c:h val="0.057699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54595"/>
          <c:y val="0.134517"/>
          <c:w val="0.887195"/>
          <c:h val="0.74867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Sheet1!$B$2:$I$2</c:f>
              <c:numCache>
                <c:ptCount val="8"/>
                <c:pt idx="0">
                  <c:v>0.460000</c:v>
                </c:pt>
                <c:pt idx="1">
                  <c:v>0.470000</c:v>
                </c:pt>
                <c:pt idx="2">
                  <c:v>0.450000</c:v>
                </c:pt>
                <c:pt idx="3">
                  <c:v>0.460000</c:v>
                </c:pt>
                <c:pt idx="4">
                  <c:v>0.460000</c:v>
                </c:pt>
                <c:pt idx="5">
                  <c:v>0.450000</c:v>
                </c:pt>
                <c:pt idx="6">
                  <c:v>0.460000</c:v>
                </c:pt>
                <c:pt idx="7">
                  <c:v>0.540000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Sheet1!$B$3:$I$3</c:f>
              <c:numCache>
                <c:ptCount val="8"/>
                <c:pt idx="0">
                  <c:v>0.540000</c:v>
                </c:pt>
                <c:pt idx="1">
                  <c:v>0.530000</c:v>
                </c:pt>
                <c:pt idx="2">
                  <c:v>0.550000</c:v>
                </c:pt>
                <c:pt idx="3">
                  <c:v>0.540000</c:v>
                </c:pt>
                <c:pt idx="4">
                  <c:v>0.540000</c:v>
                </c:pt>
                <c:pt idx="5">
                  <c:v>0.550000</c:v>
                </c:pt>
                <c:pt idx="6">
                  <c:v>0.540000</c:v>
                </c:pt>
                <c:pt idx="7">
                  <c:v>0.550000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Helvetica Neue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Helvetica Neue"/>
                  </a:rPr>
                  <a:t>Gender Percentage</a:t>
                </a:r>
              </a:p>
            </c:rich>
          </c:tx>
          <c:layout/>
          <c:overlay val="1"/>
        </c:title>
        <c:numFmt formatCode="#,##0%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0.15"/>
        <c:minorUnit val="0.0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49869"/>
          <c:y val="0"/>
          <c:w val="0.890076"/>
          <c:h val="0.061904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 Neue"/>
              </a:rPr>
              <a:t>Visitor Status Percentage</a:t>
            </a:r>
          </a:p>
        </c:rich>
      </c:tx>
      <c:layout>
        <c:manualLayout>
          <c:xMode val="edge"/>
          <c:yMode val="edge"/>
          <c:x val="0.319139"/>
          <c:y val="0.0544404"/>
          <c:w val="0.377167"/>
          <c:h val="0.0797136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207708"/>
          <c:y val="0.134154"/>
          <c:w val="0.663764"/>
          <c:h val="0.737893"/>
        </c:manualLayout>
      </c:layout>
      <c:barChart>
        <c:barDir val="col"/>
        <c:grouping val="clustered"/>
        <c:varyColors val="0"/>
        <c:ser>
          <c:idx val="0"/>
          <c:order val="0"/>
          <c:tx>
            <c:v/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Pt>
            <c:idx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chemeClr val="accent4">
                  <a:hueOff val="-461056"/>
                  <a:satOff val="4338"/>
                  <a:lumOff val="-10225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 Neue"/>
                    </a:defRPr>
                  </a:pPr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numFmt formatCode="#,##0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 Neue"/>
                    </a:defRPr>
                  </a:pPr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numFmt formatCode="#,##0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 Neue"/>
                    </a:defRPr>
                  </a:pPr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numFmt formatCode="#,##0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000000"/>
                      </a:solidFill>
                      <a:latin typeface="Helvetica Neue"/>
                    </a:defRPr>
                  </a:pPr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4"/>
              <c:pt idx="0">
                <c:v>Active Emplyee</c:v>
              </c:pt>
              <c:pt idx="1">
                <c:v>Student</c:v>
              </c:pt>
              <c:pt idx="2">
                <c:v>Retiree</c:v>
              </c:pt>
              <c:pt idx="3">
                <c:v>Writer</c:v>
              </c:pt>
            </c:strLit>
          </c:cat>
          <c:val>
            <c:numLit>
              <c:ptCount val="4"/>
              <c:pt idx="0">
                <c:v>51.625000</c:v>
              </c:pt>
              <c:pt idx="1">
                <c:v>34.625000</c:v>
              </c:pt>
              <c:pt idx="2">
                <c:v>9.125000</c:v>
              </c:pt>
              <c:pt idx="3">
                <c:v>4.000000</c:v>
              </c:pt>
            </c:numLit>
          </c:val>
        </c:ser>
        <c:gapWidth val="10"/>
        <c:overlap val="-4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minorGridlines>
          <c:spPr>
            <a:ln w="12700" cap="flat">
              <a:solidFill>
                <a:srgbClr val="000000"/>
              </a:solidFill>
              <a:custDash>
                <a:ds d="100000" sp="200000"/>
              </a:custDash>
              <a:miter lim="400000"/>
            </a:ln>
          </c:spPr>
        </c:minorGridlines>
        <c:numFmt formatCode="#,##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15"/>
        <c:minorUnit val="7.5"/>
      </c:valAx>
      <c:spPr>
        <a:noFill/>
        <a:ln w="12700" cap="flat">
          <a:solidFill>
            <a:srgbClr val="000000"/>
          </a:solidFill>
          <a:prstDash val="solid"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061804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1271"/>
          <c:y val="0.143491"/>
          <c:w val="0.841637"/>
          <c:h val="0.79011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Visitor Volume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chemeClr val="accent1">
                  <a:lumOff val="16847"/>
                </a:schemeClr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chemeClr val="accent1">
                    <a:lumOff val="16847"/>
                  </a:schemeClr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</c:strCache>
            </c:strRef>
          </c:cat>
          <c:val>
            <c:numRef>
              <c:f>Sheet1!$B$2:$N$2</c:f>
              <c:numCache>
                <c:ptCount val="13"/>
                <c:pt idx="0">
                  <c:v>7552000.000000</c:v>
                </c:pt>
                <c:pt idx="1">
                  <c:v>8349000.000000</c:v>
                </c:pt>
                <c:pt idx="2">
                  <c:v>8260000.000000</c:v>
                </c:pt>
                <c:pt idx="3">
                  <c:v>8461000.000000</c:v>
                </c:pt>
                <c:pt idx="4">
                  <c:v>8450000.000000</c:v>
                </c:pt>
                <c:pt idx="5">
                  <c:v>8414000.000000</c:v>
                </c:pt>
                <c:pt idx="6">
                  <c:v>8880000.000000</c:v>
                </c:pt>
                <c:pt idx="7">
                  <c:v>9720000.000000</c:v>
                </c:pt>
                <c:pt idx="8">
                  <c:v>9330000.000000</c:v>
                </c:pt>
                <c:pt idx="9">
                  <c:v>9260000.000000</c:v>
                </c:pt>
                <c:pt idx="10">
                  <c:v>8600000.000000</c:v>
                </c:pt>
                <c:pt idx="11">
                  <c:v>7100000.000000</c:v>
                </c:pt>
                <c:pt idx="12">
                  <c:v>8100000.000000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2.5e+06"/>
        <c:minorUnit val="1.25e+06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11443"/>
          <c:y val="0"/>
          <c:w val="0.839317"/>
          <c:h val="0.064365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51081"/>
          <c:y val="0.10952"/>
          <c:w val="0.777018"/>
          <c:h val="0.82568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France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Sheet1!$B$2:$I$2</c:f>
              <c:numCache>
                <c:ptCount val="8"/>
                <c:pt idx="0">
                  <c:v>33.000000</c:v>
                </c:pt>
                <c:pt idx="1">
                  <c:v>33.000000</c:v>
                </c:pt>
                <c:pt idx="2">
                  <c:v>31.000000</c:v>
                </c:pt>
                <c:pt idx="3">
                  <c:v>33.000000</c:v>
                </c:pt>
                <c:pt idx="4">
                  <c:v>36.000000</c:v>
                </c:pt>
                <c:pt idx="5">
                  <c:v>33.000000</c:v>
                </c:pt>
                <c:pt idx="6">
                  <c:v>33.000000</c:v>
                </c:pt>
                <c:pt idx="7">
                  <c:v>31.000000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USA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Sheet1!$B$3:$I$3</c:f>
              <c:numCache>
                <c:ptCount val="8"/>
                <c:pt idx="0">
                  <c:v>20.000000</c:v>
                </c:pt>
                <c:pt idx="1">
                  <c:v>18.000000</c:v>
                </c:pt>
                <c:pt idx="2">
                  <c:v>18.000000</c:v>
                </c:pt>
                <c:pt idx="3">
                  <c:v>14.000000</c:v>
                </c:pt>
                <c:pt idx="4">
                  <c:v>15.000000</c:v>
                </c:pt>
                <c:pt idx="5">
                  <c:v>13.000000</c:v>
                </c:pt>
                <c:pt idx="6">
                  <c:v>16.000000</c:v>
                </c:pt>
                <c:pt idx="7">
                  <c:v>15.000000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UK</c:v>
                </c:pt>
              </c:strCache>
            </c:strRef>
          </c:tx>
          <c:spPr>
            <a:solidFill>
              <a:schemeClr val="accent4">
                <a:hueOff val="-461056"/>
                <a:satOff val="4338"/>
                <a:lumOff val="-10225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Sheet1!$B$4:$I$4</c:f>
              <c:numCache>
                <c:ptCount val="8"/>
                <c:pt idx="0">
                  <c:v>9.000000</c:v>
                </c:pt>
                <c:pt idx="1">
                  <c:v>8.000000</c:v>
                </c:pt>
                <c:pt idx="2">
                  <c:v>7.000000</c:v>
                </c:pt>
                <c:pt idx="3">
                  <c:v>6.000000</c:v>
                </c:pt>
                <c:pt idx="4">
                  <c:v>0.000000</c:v>
                </c:pt>
                <c:pt idx="5">
                  <c:v>5.000000</c:v>
                </c:pt>
                <c:pt idx="6">
                  <c:v>0.000000</c:v>
                </c:pt>
                <c:pt idx="7">
                  <c:v>5.000000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Italy</c:v>
                </c:pt>
              </c:strCache>
            </c:strRef>
          </c:tx>
          <c:spPr>
            <a:solidFill>
              <a:srgbClr val="FF2600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Sheet1!$B$5:$I$5</c:f>
              <c:numCache>
                <c:ptCount val="8"/>
                <c:pt idx="0">
                  <c:v>8.000000</c:v>
                </c:pt>
                <c:pt idx="1">
                  <c:v>8.000000</c:v>
                </c:pt>
                <c:pt idx="2">
                  <c:v>8.000000</c:v>
                </c:pt>
                <c:pt idx="3">
                  <c:v>7.000000</c:v>
                </c:pt>
                <c:pt idx="4">
                  <c:v>7.000000</c:v>
                </c:pt>
                <c:pt idx="5">
                  <c:v>7.000000</c:v>
                </c:pt>
                <c:pt idx="6">
                  <c:v>7.000000</c:v>
                </c:pt>
                <c:pt idx="7">
                  <c:v>6.000000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Spain</c:v>
                </c:pt>
              </c:strCache>
            </c:strRef>
          </c:tx>
          <c:spPr>
            <a:solidFill>
              <a:srgbClr val="C24885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Sheet1!$B$6:$I$6</c:f>
              <c:numCache>
                <c:ptCount val="8"/>
                <c:pt idx="0">
                  <c:v>7.000000</c:v>
                </c:pt>
                <c:pt idx="1">
                  <c:v>7.000000</c:v>
                </c:pt>
                <c:pt idx="2">
                  <c:v>7.000000</c:v>
                </c:pt>
                <c:pt idx="3">
                  <c:v>7.000000</c:v>
                </c:pt>
                <c:pt idx="4">
                  <c:v>6.000000</c:v>
                </c:pt>
                <c:pt idx="5">
                  <c:v>6.000000</c:v>
                </c:pt>
                <c:pt idx="6">
                  <c:v>0.000000</c:v>
                </c:pt>
                <c:pt idx="7">
                  <c:v>0.000000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Germany</c:v>
                </c:pt>
              </c:strCache>
            </c:strRef>
          </c:tx>
          <c:spPr>
            <a:solidFill>
              <a:srgbClr val="5F5F5F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Sheet1!$B$7:$I$7</c:f>
              <c:numCache>
                <c:ptCount val="5"/>
                <c:pt idx="0">
                  <c:v>6.000000</c:v>
                </c:pt>
                <c:pt idx="1">
                  <c:v>0.000000</c:v>
                </c:pt>
                <c:pt idx="2">
                  <c:v>6.000000</c:v>
                </c:pt>
                <c:pt idx="3">
                  <c:v>0.000000</c:v>
                </c:pt>
                <c:pt idx="4">
                  <c:v>6.000000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Brazil</c:v>
                </c:pt>
              </c:strCache>
            </c:strRef>
          </c:tx>
          <c:spPr>
            <a:solidFill>
              <a:srgbClr val="22AEFF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Sheet1!$B$8:$I$8</c:f>
              <c:numCache>
                <c:ptCount val="6"/>
                <c:pt idx="1">
                  <c:v>6.000000</c:v>
                </c:pt>
                <c:pt idx="3">
                  <c:v>7.000000</c:v>
                </c:pt>
                <c:pt idx="4">
                  <c:v>6.000000</c:v>
                </c:pt>
                <c:pt idx="5">
                  <c:v>8.000000</c:v>
                </c:pt>
                <c:pt idx="6">
                  <c:v>7.000000</c:v>
                </c:pt>
                <c:pt idx="7">
                  <c:v>6.000000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China</c:v>
                </c:pt>
              </c:strCache>
            </c:strRef>
          </c:tx>
          <c:spPr>
            <a:solidFill>
              <a:srgbClr val="73DD4E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Sheet1!$B$9:$I$9</c:f>
              <c:numCache>
                <c:ptCount val="2"/>
                <c:pt idx="6">
                  <c:v>7.000000</c:v>
                </c:pt>
                <c:pt idx="7">
                  <c:v>7.000000</c:v>
                </c:pt>
              </c:numCache>
            </c:numRef>
          </c:val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rgbClr val="F9C32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strCache>
            </c:strRef>
          </c:cat>
          <c:val>
            <c:numRef>
              <c:f>Sheet1!$B$10:$I$10</c:f>
              <c:numCache>
                <c:ptCount val="2"/>
                <c:pt idx="5">
                  <c:v>6.000000</c:v>
                </c:pt>
                <c:pt idx="6">
                  <c:v>7.000000</c:v>
                </c:pt>
              </c:numCache>
            </c:numRef>
          </c:val>
        </c:ser>
        <c:gapWidth val="40"/>
        <c:overlap val="10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Helvetica Neue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Helvetica Neue"/>
                  </a:rPr>
                  <a:t>Visitor Nationality Percentage</a:t>
                </a:r>
              </a:p>
            </c:rich>
          </c:tx>
          <c:layout/>
          <c:overlay val="1"/>
        </c:title>
        <c:numFmt formatCode="General" sourceLinked="0"/>
        <c:majorTickMark val="cross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22.5"/>
        <c:minorUnit val="11.25"/>
      </c:valAx>
      <c:spPr>
        <a:noFill/>
        <a:ln w="12700" cap="flat">
          <a:solidFill>
            <a:srgbClr val="000000"/>
          </a:solidFill>
          <a:prstDash val="solid"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10139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