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160"/>
        <w:ind w:left="0"/>
      </w:pPr>
      <w:r>
        <w:rPr>
          <w:rFonts w:eastAsia="微软雅黑"/>
          <w:rFonts w:ascii="微软雅黑" w:hAnsi="微软雅黑"/>
          <w:b/>
          <w:color w:val="1F497D"/>
          <w:sz w:val="32"/>
        </w:rPr>
        <w:t>发明专利申请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专利三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一种AI数字分身的渐进式信任成熟度评估及证书授予方法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项目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发明名称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一种AI数字分身的渐进式信任成熟度评估及证书授予方法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发明人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程跃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申请人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跃创三品文化科技有限公司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首次公开日期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2026-03-05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公开平台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 (github.com/Chengyue5211/DualSoul) / Gitee镜像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申请宽限期截止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2026-09-05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技术领域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信任计算、人工智能评估、数字身份认证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一、技术领域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本发明属于信任计算、人工智能评估、数字身份认证领域，具体涉及渐进式信任证书系统相关的系统及方法。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二、背景技术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现有AI系统在可信度量化方面存在明显空白：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（一）通用AI系统（如ChatGPT、Gemini等）无法对特定AI代理的历史表现进行量化评估，用户无法区分新建的、未经验证的AI代理和经过长期验证的、可信赖的AI代理。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（二）现有信誉系统（如eBay信誉评分、Airbnb评价系统）针对真人行为，无法适用于AI代理的可信度评估场景——AI代理的可信度体现在其回复与真实用户人格的匹配程度，而非服务质量。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（三）区块链身份系统（如DID标准）提供身份验证但不提供行为可信度量化，无法回答"这个AI分身的回复有多大程度代表了真实用户"这一核心问题。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这一空白导致在双身份社交网络中，用户无法判断对方AI分身的可信程度，阻碍了AI分身代理社交功能的实际采用。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三、发明内容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3.1 技术问题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本发明解决的技术问题是：如何对AI数字分身的可信度进行多因子量化评估，并通过渐进式证书机制将评估结果在社交图谱中可见地展示，使用户能够客观判断对方AI分身的代理质量。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3.2 技术方案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3.2.1 信任成熟度分数模型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为每个数字分身定义信任成熟度分数（Trust Maturity Score，TMS），取值范围0-100，划分为五个等级：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96"/>
        <w:gridCol w:w="2196"/>
        <w:gridCol w:w="2196"/>
        <w:gridCol w:w="2196"/>
      </w:tblGrid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等级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分数范围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状态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含义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L0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0-20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新生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刚创建的分身，无历史交互数据，最低信任权重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L1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21-40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学习中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有初步性格设定，少量交互历史，初步建立基线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L2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41-60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成长中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经历多次交互，用户有少量纠正行为，性格稳定性提升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L3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61-80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可信赖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大量交互记录，纠正率较低，分身表现与用户风格高度匹配</w:t>
            </w:r>
          </w:p>
        </w:tc>
      </w:tr>
      <w:tr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L4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81-100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高度可信</w:t>
            </w:r>
          </w:p>
        </w:tc>
        <w:tc>
          <w:tcPr>
            <w:tcW w:type="dxa" w:w="2196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长期一致表现，极低纠正率，在多个社交对象中均有有效交互</w:t>
            </w:r>
          </w:p>
        </w:tc>
      </w:tr>
    </w:tbl>
    <w:p/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3.2.2 多因子信任分数计算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信任成熟度分数由以下五个因子加权计算：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（1）交互量因子（权重25%）：分身处理的消息总数，使用对数函数平滑，防止刷量。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（2）纠正率因子（权重30%）：用户主动纠正分身回复的比例，使用滑动窗口计算近期表现，近期权重高于历史权重。纠正率越低，分数贡献越高。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（3）一致性因子（权重25%）：通过语义相似度计算分身回复与用户真实消息的风格匹配度，使用向量嵌入模型评估。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（4）时间跨度因子（权重10%）：分身活跃的自然天数，线性增长，鼓励长期持续使用。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（5）社交覆盖因子（权重10%）：与不同好友的有效交互数量，鼓励多样化社交覆盖。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3.2.3 渐进式证书授予机制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当分身的信任成熟度分数达到对应等级阈值时，系统自动授予对应等级的信任证书：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（1）证书信息在社交图谱中对好友可见，其他用户可查看对方分身的当前信任等级。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（2）证书包含：当前等级、达到当前等级的时间戳、当前分数值（可选显示）。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（3）高信任等级的分身回复在对方界面中获得更高的展示优先级，视觉上有等级标识。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（4）证书等级可随时间下降：若近期纠正率显著升高，分数重新计算后可能回落到较低等级，证书相应降级。</w:t>
      </w:r>
    </w:p>
    <w:p>
      <w:pPr>
        <w:spacing w:before="120" w:after="60"/>
        <w:ind w:left="0"/>
      </w:pPr>
      <w:r>
        <w:rPr>
          <w:rFonts w:eastAsia="微软雅黑"/>
          <w:rFonts w:ascii="微软雅黑" w:hAnsi="微软雅黑"/>
          <w:b/>
          <w:sz w:val="22"/>
        </w:rPr>
        <w:t>3.2.4 防作弊机制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系统内置多层防作弊机制：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（1）交互量使用对数平滑函数，大量重复交互的边际增益趋近于零。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（2）纠正率使用滑动窗口计算，近期行为权重更高，防止早期刷量后长期躺平。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（3）异常行为检测：短时间内大量重复或高度相似的交互触发信任冻结，暂停分数更新。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（4）信任分数只能通过真实社交交互累积，不可购买、转让或通过系统外手段获取。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（5）跨平台证书验证使用加密签名，防止伪造。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3.3 有益效果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（一）首次为AI数字分身提供了客观、多因子、量化的可信度评估框架，使用户能够基于数据而非主观感受判断分身质量。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（二）渐进式证书机制激励用户持续完善分身性格画像，形成良性的分身优化循环。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（三）防作弊机制保证了信任分数的真实性，防止系统被恶意操控。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（四）跨平台信任证书为未来的分身可信度互认生态奠定了技术基础。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四、附图说明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附图1为信任成熟度分数（TMS）的五级等级划分示意图，横轴为0-100分值区间，纵向标注 L0（新生）至 L4（高度可信）五个等级的分数边界及对应状态说明。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附图2为五因子加权计算流程图，展示交互量（对数平滑）、纠正率（滑动窗口）、一致性（向量相似度）、时间跨度（线性增长）、社交覆盖五个子分的计算路径和加权汇总过程。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附图3为证书颁发与降级机制流程图，展示 TMS 分数更新触发的升级、降级、颁发证书、撤销证书及跨平台加密签名验证的完整状态机流程。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（以上附图由专利代理人依据说明书内容绘制。）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五、具体实施方式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实施例一：新生分身信任分数初始化与基础积累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用户甲完成注册后，系统为分身 T001 创建信任成熟度记录：TMS=10（L0 新生），五个因子均为零基线。好友乙首次与 T001 交互并收到回复，交互量因子经对数平滑后贡献 0.8 分，时间跨度因子记录当日，TMS 更新为 11。此后甲持续使用，30 天内完成 80 次分身交互（含 5 位不同好友），TMS 升至 45（L2 成长中），系统自动颁发 L2 信任证书。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实施例二：纠正率滑动窗口触发降级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甲连续 5 次拒绝分身自动回复，纠正率近期滑动窗口（最近 20 次交互）升至 28%，纠正率因子从 0.72 下降至 0.58，TMS 重新计算后降至 38（L1），系统撤销 L2 证书，好友界面同步更新甲分身的等级标识。</w:t>
      </w:r>
    </w:p>
    <w:p>
      <w:pPr>
        <w:spacing w:before="160" w:after="80"/>
        <w:ind w:left="0"/>
      </w:pPr>
      <w:r>
        <w:rPr>
          <w:rFonts w:eastAsia="微软雅黑"/>
          <w:rFonts w:ascii="微软雅黑" w:hAnsi="微软雅黑"/>
          <w:b/>
          <w:color w:val="365F91"/>
          <w:sz w:val="24"/>
        </w:rPr>
        <w:t>实施例三：L4 证书颁发与跨平台加密验证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甲的分身经 180 天持续活跃，TMS 达到 82（L4），系统自动颁发证书：{level:4, granted_at:"2026-09-05T10:00:00Z", capabilities:["reply","delegate","decision_support"]}，使用平台私钥 HMAC-SHA256 签名。甲将分身导入第三方平台时，该平台调用 DualSoul 证书验证 API，校验签名有效性后确认 L4 等级并开放对应权限。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六、摘要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公开了一种AI数字分身的渐进式信任成熟度评估及证书授予方法。该方法为每个AI数字分身维护一个取值0-100的信任成熟度分数，划分为L0（新生）至L4（高度可信）五个等级，通过累计积分事件（用户确认回复、主动触发正确等）和触发降级事件（越权尝试、用户拒绝等）动态更新分数。当分数跨越等级阈值时，系统自动签发或撤销对应等级的信任证书，证书包含等级、授予时间、授权能力范围等字段，可供跨平台验证。每个等级对应明确的能力边界：L0仅可回复、L2可代发消息、L4可代表用户参与正式决策。本发明解决了AI代理系统中信任度无法量化、能力边界不清晰、跨平台互认缺乏标准的问题，为AI代理的可信度管理提供了可度量、可证明、可撤销的技术方案，适用于数字分身社交系统、AI代理授权管理、企业AI助理管控等场景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七、权利要求书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一种AI数字分身的信任成熟度量化评估方法，其特征在于：为每个数字分身维护一个取值范围为0-100的信任成熟度分数，该分数划分为L0至L4共五个等级，代表从新生到高度可信的渐进式信任状态。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根据权利要求1所述的方法，其特征在于：信任成熟度分数由交互量、纠正率、一致性、时间跨度和社交覆盖五个因子加权计算，其中纠正率因子使用滑动窗口计算近期表现，近期权重高于历史权重。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根据权利要求1所述的方法，其特征在于：当分身的信任成熟度分数达到对应等级阈值时，系统自动授予对应等级的信任证书，该证书在社交图谱中对好友可见，且可随分数变化自动升级或降级。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根据权利要求1所述的方法，其特征在于：包含防作弊机制，交互量因子使用对数平滑函数，异常行为触发信任冻结，信任分数不可通过购买或转让方式获取。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一种跨平台AI分身信任证书的验证和传递方法，其特征在于：使用加密签名对信任证书进行验证，防止伪造，支持在不同平台间传递分身的信任成熟度凭证。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八、在先技术对比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在先技术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与本发明的区别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eBay信誉评分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针对真人交易行为的评分，无法评估AI代理与用户人格的匹配一致性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Airbnb评价系统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用户对服务质量的主观评价，不适用于AI代理客观可信度量化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W3C DID标准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去中心化身份标准，提供身份验证但不评估AI代理的行为可信度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ChatGPT/通用AI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无对特定AI代理历史表现的量化评估，用户无法区分可信度差异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区块链声誉系统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基于链上交易历史的声誉，不涉及AI代理与真实人格的匹配度评估</w:t>
            </w:r>
          </w:p>
        </w:tc>
      </w:tr>
    </w:tbl>
    <w:p/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本发明的独创性：本发明首次提出了基于多因子（交互量、纠正率、一致性、时间跨度、社交覆盖）的AI数字分身信任成熟度评估方法，并建立了渐进式信任证书机制，填补了AI代理可信度量化领域的空白。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九、确权证据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92"/>
        <w:gridCol w:w="4392"/>
      </w:tblGrid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证据类型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/>
                <w:sz w:val="20"/>
              </w:rPr>
              <w:t>内容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Git提交记录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参见GitHub仓库 github.com/Chengyue5211/DualSoul 中的首次提交记录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GitHub仓库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github.com/Chengyue5211/DualSoul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Gitee镜像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gitee.com/chengyue5211/DualSoul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许可证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AGPL-3.0-or-later</w:t>
            </w:r>
          </w:p>
        </w:tc>
      </w:tr>
      <w:tr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关联项目</w:t>
            </w:r>
          </w:p>
        </w:tc>
        <w:tc>
          <w:tcPr>
            <w:tcW w:type="dxa" w:w="4392"/>
          </w:tcPr>
          <w:p>
            <w:r/>
            <w:r>
              <w:rPr>
                <w:rFonts w:eastAsia="微软雅黑"/>
                <w:rFonts w:ascii="微软雅黑" w:hAnsi="微软雅黑"/>
                <w:b w:val="0"/>
                <w:sz w:val="19"/>
              </w:rPr>
              <w:t>跃创年轮 (ycnianlun.com) — 双身份社交模块已集成</w:t>
            </w:r>
          </w:p>
        </w:tc>
      </w:tr>
    </w:tbl>
    <w:p/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200" w:after="120"/>
        <w:ind w:left="0"/>
      </w:pPr>
      <w:r>
        <w:rPr>
          <w:rFonts w:eastAsia="微软雅黑"/>
          <w:rFonts w:ascii="微软雅黑" w:hAnsi="微软雅黑"/>
          <w:b/>
          <w:color w:val="1F497D"/>
          <w:sz w:val="28"/>
        </w:rPr>
        <w:t>十、附件说明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GitHub仓库完整提交历史（github.com/Chengyue5211/DualSoul）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Gitee镜像仓库提交历史（gitee.com/chengyue5211/DualSoul）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专利技术交底书（docs/PATENT_DISCLOSURE.md）— 五项专利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知识产权确权声明（docs/IP_CONFIRMATION_v1.1.md + v1.2.md）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白皮书（docs/whitepaper.md v1.1）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协议规范（docs/protocol.md v1.1）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参考实现源代码（dualsoul/）</w:t>
      </w:r>
    </w:p>
    <w:p>
      <w:pPr>
        <w:spacing w:after="60"/>
        <w:ind w:left="283"/>
      </w:pPr>
      <w:r>
        <w:rPr>
          <w:rFonts w:eastAsia="微软雅黑"/>
          <w:rFonts w:ascii="微软雅黑" w:hAnsi="微软雅黑"/>
          <w:b w:val="0"/>
          <w:sz w:val="21"/>
        </w:rPr>
        <w:t>自动化测试（tests/，42个测试用例）</w:t>
      </w:r>
    </w:p>
    <w:p>
      <w:pPr>
        <w:spacing w:before="80" w:after="80"/>
      </w:pPr>
      <w:r>
        <w:rPr>
          <w:rFonts w:eastAsia="微软雅黑"/>
          <w:rFonts w:ascii="微软雅黑" w:hAnsi="微软雅黑"/>
          <w:b w:val="0"/>
          <w:color w:val="B4B4B4"/>
          <w:sz w:val="18"/>
        </w:rPr>
        <w:t>――――――――――――――――――――――――――――――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发明人：程跃（跃创三品文化科技有限公司） | 日期：2026年03月13日</w:t>
      </w:r>
    </w:p>
    <w:p>
      <w:pPr>
        <w:spacing w:before="0" w:after="60"/>
        <w:ind w:left="0"/>
      </w:pPr>
      <w:r>
        <w:rPr>
          <w:rFonts w:eastAsia="微软雅黑"/>
          <w:rFonts w:ascii="微软雅黑" w:hAnsi="微软雅黑"/>
          <w:b w:val="0"/>
          <w:sz w:val="21"/>
        </w:rPr>
        <w:t>*本文档仅用于专利申请准备，不构成公开的技术披露。*</w:t>
      </w:r>
    </w:p>
    <w:sectPr w:rsidR="00FC693F" w:rsidRPr="0006063C" w:rsidSect="00034616">
      <w:pgSz w:w="12240" w:h="15840"/>
      <w:pgMar w:top="1440" w:right="1728" w:bottom="1440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