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Chengzhi Cao</w:t>
      </w:r>
    </w:p>
    <w:p>
      <w:pPr>
        <w:spacing w:after="10" w:line="240" w:lineRule="auto"/>
        <w:jc w:val="center"/>
        <w:outlineLvl w:val="0"/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E</w:t>
      </w:r>
      <w:r>
        <w:rPr>
          <w:rFonts w:hint="eastAsia" w:ascii="Times New Roman" w:hAnsi="Times New Roman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"mailto:chengzhicao@mail.ustc.edu.cn"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sz w:val="20"/>
          <w:szCs w:val="20"/>
          <w:lang w:val="en-US" w:eastAsia="zh-CN"/>
        </w:rPr>
        <w:t>chengzhicao@mail.ustc</w:t>
      </w:r>
      <w:r>
        <w:rPr>
          <w:rStyle w:val="12"/>
          <w:rFonts w:hint="default" w:ascii="Times New Roman" w:hAnsi="Times New Roman"/>
          <w:sz w:val="20"/>
          <w:szCs w:val="20"/>
          <w:lang w:eastAsia="zh-CN"/>
        </w:rPr>
        <w:t>.edu.cn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|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instrText xml:space="preserve"> HYPERLINK "https://chengzhi-cao.github.io/" </w:instrTex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sz w:val="20"/>
          <w:szCs w:val="20"/>
          <w:lang w:val="en-US" w:eastAsia="zh-CN"/>
        </w:rPr>
        <w:t>Homepage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Hefei, China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South China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University of Technology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Project 985 &amp; 211, Guangdong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 xml:space="preserve">Bachelor of Technology in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Electrical Engineering and Automation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7.9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202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1.6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Overall GPA: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3.85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/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4.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 xml:space="preserve">University of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Science and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Technology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of China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Project 985 &amp; 211, </w:t>
      </w:r>
      <w:r>
        <w:rPr>
          <w:rFonts w:hint="default" w:ascii="Times New Roman" w:hAnsi="Times New Roman"/>
          <w:b/>
          <w:sz w:val="20"/>
          <w:szCs w:val="20"/>
          <w:lang w:eastAsia="zh-CN"/>
        </w:rPr>
        <w:t>Anhui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School of Information Science and Technology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21.9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ind w:firstLine="400" w:firstLineChars="20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8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9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20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• Top Undergraduate Student Award (highest honor of undergraduates, only 10 winners)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ab/>
        <w:t>2021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First Prize in RoboMaster University League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2020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First Prize in 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The Chinese Mathematics Competitions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  <w:t>2021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eastAsia" w:ascii="Times New Roman" w:hAnsi="Times New Roman"/>
          <w:smallCaps/>
          <w:sz w:val="24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 w:eastAsia="宋体"/>
          <w:smallCaps/>
          <w:sz w:val="24"/>
          <w:szCs w:val="20"/>
          <w:lang w:val="en-US" w:eastAsia="zh-CN"/>
        </w:rPr>
      </w:pP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I</w:t>
      </w:r>
      <w:r>
        <w:rPr>
          <w:rFonts w:hint="eastAsia" w:ascii="Times New Roman" w:hAnsi="Times New Roman"/>
          <w:smallCaps/>
          <w:sz w:val="20"/>
          <w:szCs w:val="15"/>
          <w:lang w:val="en-US" w:eastAsia="zh-CN"/>
        </w:rPr>
        <w:t>NTEREST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s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Video Restoration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deblurring and super-resolution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, bayes learning and bio-inspired Intelligence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hint="default" w:ascii="Times New Roman" w:hAnsi="Times New Roman"/>
          <w:smallCaps/>
          <w:sz w:val="24"/>
          <w:szCs w:val="20"/>
        </w:rPr>
        <w:t>Publications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[1]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Event-guided Person Re-Identification via Sparse-Dense Complementary Learning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Hongjian Liu, Yukun Huang, Kunyu Wang, Jiebo Luo,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"https://openaccess.thecvf.com/content/CVPR2023/papers/Cao_Event-Guided_Person_Re-Identification_via_Sparse-Dense_Complementary_Learning_CVPR_2023_paper.pdf"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"https://github.com/Chengzhi-Cao/SDCL"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Event-driven Video Deblurring via Spatio-Temporal Relation-Aware Network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Gege Shi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IJCAI (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Long Oral Accept, Acceptance Rate&lt;3.75%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Apr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"https://www.ijcai.org/proceedings/2022/0112.pdf"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"https://github.com/Chengzhi-Cao/STRA"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Generalized UAV Object Detection via Frequency Domain Disentanglement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Kunyu Wang, Xueyang Fu*, Hongjian Liu, Yukun Huang,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Gege Shi,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 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[4]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Single Image Shadow Detection via Complementary Mechanism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Zhu, Xueyang Fu*,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Xi Wang, Qibin Sun, Zheng-jun Zha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Proceedings of the ACM International Conference on Multimedia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ACM MM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 Jun. 2022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"https://dl.acm.org/doi/pdf/10.1145/3503161.3547904"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"https://github.com/zhuyr97/SDCM"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[5]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Discovering Intrinsic Spatial-Temporal Logic Rules to Explain Human Actions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Chao Yang, Shuang Li*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Conference on Neural Information Processing Systems (NeurIPS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3.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Restoration with Spiking-Convolutional Architecture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Zhijing Sun,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Transactions on Neural Networks and Learning Systems (TNNLS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[7]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Generalized Cryo-Electron Tomography Image Denoising via Frequency Domain Mining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Tianyang Wang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Zhaoxin Fan,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Min Xu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International Conference on Computer Vision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(ICCV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Bio-inspired Video Processing with Guidance of Events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Science and Technology of China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Mar. 2022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"https://xueyangfu.github.io/"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Xueyang Fu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"https://research.com/u/zheng-jun-zha"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Zhengjun Zha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/>
          <w:bCs w:val="0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409" w:leftChars="90" w:hanging="211" w:hangingChars="100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Video Deblurring</w:t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spatio-temporal relation-aware network for event-driven video deblurring, and achieve better performance through fusing features of frames and events properly.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ropose a spiking neural temporal memory module by capturing long-term relations of event sequences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xtract the spatial correlation between frames and events to exploit the complementary information from them.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Hans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Extensive experiments show that our method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achiev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es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the SOTA performance on banchmark of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video deblurring dataset, including GoPro and HQF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.</w:t>
      </w:r>
    </w:p>
    <w:p>
      <w:pPr>
        <w:tabs>
          <w:tab w:val="right" w:pos="9720"/>
        </w:tabs>
        <w:spacing w:after="0" w:afterAutospacing="0" w:line="240" w:lineRule="auto"/>
        <w:ind w:left="409" w:leftChars="90" w:hanging="211" w:hangingChars="100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Video Person Identification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he first event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/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guided solution to tackle the video-based Re-ID task.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ropose a sparse-dense complementary learning network to fully utilize the sparse events and dense frames simultaneously to enhance identity representation learning in degraded conditions.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esign a deformable spiking neural network to suit the sparse characteristics of event streams, which greatly utilizes the spatial consistency of events to provide motion information for dense RGB frames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br w:type="textWrapping"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Generalized Cryo-Electron Tomography Image Denoising 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Carnegie Mellon University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Oct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Mar. 2023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"https://xulabs.github.io/min-xu/"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Min Xu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Design a novel framework for unsupervised Cryo-Electron Tomography Image denoising, leveraging domain adaptation and Fourier transform.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evelop a Fourier style mining generator to produce high-quality real-like images by converting images into frequency domain and then identifying domain-variant frequency components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ropose a cross distillation and refinement mechanism to learn domain-invariant representations by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distribution alignment, narrowing the distribution gap be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tween synthetic and real data domains.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Spatial-Temporal Logic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Learning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to Explain Human Actions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 xml:space="preserve">Chinese </w:t>
      </w:r>
      <w:r>
        <w:rPr>
          <w:rFonts w:hint="default" w:ascii="Times New Roman" w:hAnsi="Times New Roman"/>
          <w:b w:val="0"/>
          <w:bCs/>
          <w:sz w:val="21"/>
          <w:szCs w:val="21"/>
          <w:lang w:val="en-US"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Hong Kong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"https://shuangli01.github.io/"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Shuang Li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tractable and differentiable algorithm that can jointly learn the rule content and model parameters from observational data.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The overall procedure is an expectation-maximization algorithm, where we treat the rule set as latent variables.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In the E-step, the posterior distribution over the latent rule set is evaluated. In the M-step, the model parameters are optimized by maximizing the expected log-likelihood with respect to the current posterior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We demonstrated the promising performance of 64 our model in terms of human action prediction and explanation on two interesting real datasets.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Low-quality Video Detection and Filtering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Tencent, Shenzhen</w:t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March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July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1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"https://scholar.google.nl/citations?user=61DydQUAAAAJ&amp;hl=zh-CN&amp;oi=ao"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Kwok Wai Hung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"https://scholar.google.nl/citations?hl=zh-CN&amp;user=zP8lA0UAAAAJ"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Simon Lui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 w:val="0"/>
          <w:bCs/>
          <w:color w:val="0000FF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Design a multi-scale structure to take advantage of inter-scale correlation for video super-resolution in QQ Music, optimize it by removing unnecessary modules to simplify the network architecture.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Smoke Detection. Identify the key points of multiple faces, and use them to locate the user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 mouth; calculate the matching parameters between the cigarette and mouth. This project is now under implementation.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Patent Application Number: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2021111598150, 2021109153727, 2021107976749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smallCaps/>
          <w:sz w:val="24"/>
          <w:szCs w:val="20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COMPETITION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Third Prize: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instrText xml:space="preserve"> HYPERLINK "https://mipi-challenge.org/MIPI2023/" \l "awards" </w:instrTex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cs="Times New Roman"/>
          <w:sz w:val="20"/>
          <w:szCs w:val="20"/>
          <w:lang w:val="en-US" w:eastAsia="zh-CN"/>
        </w:rPr>
        <w:t>CVPR Workshop MIPI-challenge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 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RGBW Joint Fusion and Denoise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Third Prize: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instrText xml:space="preserve"> HYPERLINK "https://codalab.lisn.upsaclay.fr/competitions/10494" \l "results" </w:instrTex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cs="Times New Roman"/>
          <w:sz w:val="20"/>
          <w:szCs w:val="20"/>
          <w:lang w:val="en-US" w:eastAsia="zh-CN"/>
        </w:rPr>
        <w:t>CVPR Workshop NTIRE 2023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 - HR Depth from Images of Specular and Transparent Surfaces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smallCaps/>
          <w:sz w:val="24"/>
          <w:szCs w:val="20"/>
          <w:lang w:val="en-US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SERVICES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Program Committee/External Reviewer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: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ICCV 2023, ACM MM 2023</w:t>
      </w:r>
    </w:p>
    <w:p>
      <w:pPr>
        <w:tabs>
          <w:tab w:val="right" w:pos="9720"/>
        </w:tabs>
        <w:spacing w:beforeAutospacing="0" w:after="0" w:afterAutospacing="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smallCaps/>
          <w:sz w:val="24"/>
          <w:szCs w:val="20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KILLS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Interests: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behavior modeling, logic learning and low-level vision (deblurring, super-resolution and deraining)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Programming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Python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(Pytorch,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Opencv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,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LATEX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, Matlab, Microsoft Office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Mathematics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Linear Algebra, Vector Calculus, Probability and Statistic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/>
          <w:b/>
          <w:bCs w:val="0"/>
          <w:i w:val="0"/>
          <w:iCs w:val="0"/>
          <w:sz w:val="20"/>
          <w:szCs w:val="20"/>
          <w:lang w:eastAsia="zh-CN"/>
        </w:rPr>
        <w:t>English:</w:t>
      </w:r>
      <w:r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  <w:t xml:space="preserve"> GRE</w:t>
      </w:r>
      <w:r>
        <w:rPr>
          <w:rFonts w:hint="eastAsia" w:ascii="Times New Roman" w:hAnsi="Times New Roman"/>
          <w:b w:val="0"/>
          <w:bCs/>
          <w:i w:val="0"/>
          <w:iCs w:val="0"/>
          <w:sz w:val="20"/>
          <w:szCs w:val="20"/>
          <w:lang w:val="en-US" w:eastAsia="zh-CN"/>
        </w:rPr>
        <w:t xml:space="preserve"> (V158+Q170+AW3.5)</w:t>
      </w:r>
    </w:p>
    <w:p>
      <w:pPr>
        <w:tabs>
          <w:tab w:val="right" w:pos="9720"/>
        </w:tabs>
        <w:spacing w:beforeAutospacing="0" w:after="0" w:afterAutospacing="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2FDB043"/>
    <w:rsid w:val="05503A06"/>
    <w:rsid w:val="05900FD6"/>
    <w:rsid w:val="06C5421A"/>
    <w:rsid w:val="08460566"/>
    <w:rsid w:val="0E004F7C"/>
    <w:rsid w:val="0E086AB9"/>
    <w:rsid w:val="13575A4A"/>
    <w:rsid w:val="15CFFDC3"/>
    <w:rsid w:val="15F756D2"/>
    <w:rsid w:val="162B19B5"/>
    <w:rsid w:val="16EC2959"/>
    <w:rsid w:val="17674425"/>
    <w:rsid w:val="180B7763"/>
    <w:rsid w:val="1CEF3E8B"/>
    <w:rsid w:val="1F6F765D"/>
    <w:rsid w:val="26F53659"/>
    <w:rsid w:val="27623329"/>
    <w:rsid w:val="27B6DFD1"/>
    <w:rsid w:val="29EC2126"/>
    <w:rsid w:val="2A7273F9"/>
    <w:rsid w:val="2C750017"/>
    <w:rsid w:val="2DFB1794"/>
    <w:rsid w:val="2EB7F5C4"/>
    <w:rsid w:val="2F5457A0"/>
    <w:rsid w:val="2F7FF6E4"/>
    <w:rsid w:val="3332734C"/>
    <w:rsid w:val="365279A9"/>
    <w:rsid w:val="375FBC67"/>
    <w:rsid w:val="37BF267E"/>
    <w:rsid w:val="37CF53F9"/>
    <w:rsid w:val="39CF6AB4"/>
    <w:rsid w:val="3A742D23"/>
    <w:rsid w:val="3ABF7186"/>
    <w:rsid w:val="3B7FAC23"/>
    <w:rsid w:val="3BD6917B"/>
    <w:rsid w:val="3BF7A02D"/>
    <w:rsid w:val="3D99BCD4"/>
    <w:rsid w:val="3DEE61D8"/>
    <w:rsid w:val="3FEEE924"/>
    <w:rsid w:val="433A407A"/>
    <w:rsid w:val="457EAA72"/>
    <w:rsid w:val="48E804E2"/>
    <w:rsid w:val="4A7C71C9"/>
    <w:rsid w:val="4CF02C47"/>
    <w:rsid w:val="4E6B73C0"/>
    <w:rsid w:val="4FC9EDC0"/>
    <w:rsid w:val="53EB9C3C"/>
    <w:rsid w:val="55FF1B12"/>
    <w:rsid w:val="56724FCA"/>
    <w:rsid w:val="57AC6DED"/>
    <w:rsid w:val="57FF7B68"/>
    <w:rsid w:val="582FA762"/>
    <w:rsid w:val="5ACA791C"/>
    <w:rsid w:val="5B59A7C4"/>
    <w:rsid w:val="5CD32DB5"/>
    <w:rsid w:val="5CF90AE6"/>
    <w:rsid w:val="5CFD5711"/>
    <w:rsid w:val="5D9511F4"/>
    <w:rsid w:val="5F461829"/>
    <w:rsid w:val="5F7FFAAB"/>
    <w:rsid w:val="5FFBB901"/>
    <w:rsid w:val="5FFE3346"/>
    <w:rsid w:val="63395DB5"/>
    <w:rsid w:val="64471469"/>
    <w:rsid w:val="65AA23B4"/>
    <w:rsid w:val="66526B77"/>
    <w:rsid w:val="67394885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996FAB"/>
    <w:rsid w:val="74CA2D53"/>
    <w:rsid w:val="74FEC81A"/>
    <w:rsid w:val="756B0191"/>
    <w:rsid w:val="75CE32F4"/>
    <w:rsid w:val="75FBA0A2"/>
    <w:rsid w:val="765F06F3"/>
    <w:rsid w:val="76F72BD2"/>
    <w:rsid w:val="77A135D6"/>
    <w:rsid w:val="77CD04E4"/>
    <w:rsid w:val="78FF7E52"/>
    <w:rsid w:val="79FE16AA"/>
    <w:rsid w:val="79FEDAED"/>
    <w:rsid w:val="7A6F821C"/>
    <w:rsid w:val="7B7F0688"/>
    <w:rsid w:val="7BF53939"/>
    <w:rsid w:val="7BFE067A"/>
    <w:rsid w:val="7C080123"/>
    <w:rsid w:val="7D4F8E48"/>
    <w:rsid w:val="7DDF4299"/>
    <w:rsid w:val="7E6EC004"/>
    <w:rsid w:val="7F2105AB"/>
    <w:rsid w:val="7FBF5BF5"/>
    <w:rsid w:val="7FBF6CE5"/>
    <w:rsid w:val="7FEDFECC"/>
    <w:rsid w:val="7FFDC767"/>
    <w:rsid w:val="7FFE984E"/>
    <w:rsid w:val="7FFFED25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5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8"/>
    <w:unhideWhenUsed/>
    <w:qFormat/>
    <w:uiPriority w:val="99"/>
    <w:pPr>
      <w:spacing w:line="240" w:lineRule="auto"/>
    </w:pPr>
    <w:rPr>
      <w:b/>
      <w:bCs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4">
    <w:name w:val="Comment Text Char"/>
    <w:basedOn w:val="10"/>
    <w:link w:val="4"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5">
    <w:name w:val="Balloon Text Char"/>
    <w:basedOn w:val="10"/>
    <w:link w:val="5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Header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Footer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8">
    <w:name w:val="Comment Subject Char"/>
    <w:basedOn w:val="14"/>
    <w:link w:val="8"/>
    <w:semiHidden/>
    <w:qFormat/>
    <w:uiPriority w:val="99"/>
    <w:rPr>
      <w:b/>
      <w:bCs/>
    </w:r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2720</Characters>
  <Lines>53</Lines>
  <Paragraphs>14</Paragraphs>
  <TotalTime>1</TotalTime>
  <ScaleCrop>false</ScaleCrop>
  <LinksUpToDate>false</LinksUpToDate>
  <CharactersWithSpaces>3341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2015-09-25T21:15:00Z</dcterms:created>
  <dc:creator>Alan X. Chen</dc:creator>
  <cp:lastModifiedBy>橙汁~</cp:lastModifiedBy>
  <cp:lastPrinted>2014-12-20T02:31:00Z</cp:lastPrinted>
  <dcterms:modified xsi:type="dcterms:W3CDTF">2023-06-01T03:58:27Z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62F90215A96A4D637E9AE7621287E810</vt:lpwstr>
  </property>
</Properties>
</file>