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Author Agreement Statement</w:t>
      </w:r>
    </w:p>
    <w:p>
      <w:pPr>
        <w:jc w:val="center"/>
      </w:pPr>
      <w:r>
        <w:rPr>
          <w:i/>
          <w:color w:val="595959"/>
          <w:sz w:val="22"/>
        </w:rPr>
        <w:t>Editable author agreement scaffold</w:t>
      </w:r>
    </w:p>
    <w:tbl>
      <w:tblPr>
        <w:tblStyle w:val="TableGrid"/>
        <w:tblW w:type="auto" w:w="0"/>
        <w:jc w:val="center"/>
        <w:tblLook w:firstColumn="1" w:firstRow="1" w:lastColumn="0" w:lastRow="0" w:noHBand="0" w:noVBand="1" w:val="04A0"/>
      </w:tblPr>
      <w:tblGrid>
        <w:gridCol w:w="4680"/>
        <w:gridCol w:w="4680"/>
      </w:tblGrid>
      <w:tr>
        <w:tc>
          <w:tcPr>
            <w:tcW w:type="dxa" w:w="4680"/>
            <w:shd w:fill="F2F4F7"/>
            <w:vAlign w:val="center"/>
          </w:tcPr>
          <w:p>
            <w:pPr>
              <w:spacing w:after="0"/>
            </w:pPr>
            <w:r/>
            <w:r>
              <w:rPr>
                <w:rFonts w:ascii="Calibri" w:hAnsi="Calibri"/>
                <w:b/>
                <w:sz w:val="20"/>
              </w:rPr>
              <w:t>Manuscript ID</w:t>
            </w:r>
          </w:p>
        </w:tc>
        <w:tc>
          <w:tcPr>
            <w:tcW w:type="dxa" w:w="4680"/>
            <w:vAlign w:val="center"/>
          </w:tcPr>
          <w:p>
            <w:pPr>
              <w:spacing w:after="0"/>
            </w:pPr>
            <w:r/>
            <w:r>
              <w:rPr>
                <w:rFonts w:ascii="Calibri" w:hAnsi="Calibri"/>
                <w:b w:val="0"/>
                <w:sz w:val="20"/>
              </w:rPr>
              <w:t>KNOSYS-D-26-03771</w:t>
            </w:r>
          </w:p>
        </w:tc>
      </w:tr>
      <w:tr>
        <w:tc>
          <w:tcPr>
            <w:tcW w:type="dxa" w:w="4680"/>
            <w:shd w:fill="F2F4F7"/>
            <w:vAlign w:val="center"/>
          </w:tcPr>
          <w:p>
            <w:pPr>
              <w:spacing w:after="0"/>
            </w:pPr>
            <w:r/>
            <w:r>
              <w:rPr>
                <w:rFonts w:ascii="Calibri" w:hAnsi="Calibri"/>
                <w:b/>
                <w:sz w:val="20"/>
              </w:rPr>
              <w:t>Title</w:t>
            </w:r>
          </w:p>
        </w:tc>
        <w:tc>
          <w:tcPr>
            <w:tcW w:type="dxa" w:w="4680"/>
            <w:vAlign w:val="center"/>
          </w:tcPr>
          <w:p>
            <w:pPr>
              <w:spacing w:after="0"/>
            </w:pPr>
            <w:r/>
            <w:r>
              <w:rPr>
                <w:rFonts w:ascii="Calibri" w:hAnsi="Calibri"/>
                <w:b w:val="0"/>
                <w:sz w:val="20"/>
              </w:rPr>
              <w:t>PDT: Predictive Domain Transform for Multivariate Time Series Forecasting</w:t>
            </w:r>
          </w:p>
        </w:tc>
      </w:tr>
      <w:tr>
        <w:tc>
          <w:tcPr>
            <w:tcW w:type="dxa" w:w="4680"/>
            <w:shd w:fill="F2F4F7"/>
            <w:vAlign w:val="center"/>
          </w:tcPr>
          <w:p>
            <w:pPr>
              <w:spacing w:after="0"/>
            </w:pPr>
            <w:r/>
            <w:r>
              <w:rPr>
                <w:rFonts w:ascii="Calibri" w:hAnsi="Calibri"/>
                <w:b/>
                <w:sz w:val="20"/>
              </w:rPr>
              <w:t>Journal</w:t>
            </w:r>
          </w:p>
        </w:tc>
        <w:tc>
          <w:tcPr>
            <w:tcW w:type="dxa" w:w="4680"/>
            <w:vAlign w:val="center"/>
          </w:tcPr>
          <w:p>
            <w:pPr>
              <w:spacing w:after="0"/>
            </w:pPr>
            <w:r/>
            <w:r>
              <w:rPr>
                <w:rFonts w:ascii="Calibri" w:hAnsi="Calibri"/>
                <w:b w:val="0"/>
                <w:sz w:val="20"/>
              </w:rPr>
              <w:t>Knowledge-Based Systems</w:t>
            </w:r>
          </w:p>
        </w:tc>
      </w:tr>
      <w:tr>
        <w:tc>
          <w:tcPr>
            <w:tcW w:type="dxa" w:w="4680"/>
            <w:shd w:fill="F2F4F7"/>
            <w:vAlign w:val="center"/>
          </w:tcPr>
          <w:p>
            <w:pPr>
              <w:spacing w:after="0"/>
            </w:pPr>
            <w:r/>
            <w:r>
              <w:rPr>
                <w:rFonts w:ascii="Calibri" w:hAnsi="Calibri"/>
                <w:b/>
                <w:sz w:val="20"/>
              </w:rPr>
              <w:t>Working date</w:t>
            </w:r>
          </w:p>
        </w:tc>
        <w:tc>
          <w:tcPr>
            <w:tcW w:type="dxa" w:w="4680"/>
            <w:vAlign w:val="center"/>
          </w:tcPr>
          <w:p>
            <w:pPr>
              <w:spacing w:after="0"/>
            </w:pPr>
            <w:r/>
            <w:r>
              <w:rPr>
                <w:rFonts w:ascii="Calibri" w:hAnsi="Calibri"/>
                <w:b w:val="0"/>
                <w:sz w:val="20"/>
              </w:rPr>
              <w:t>May 7, 2026</w:t>
            </w:r>
          </w:p>
        </w:tc>
      </w:tr>
    </w:tbl>
    <w:p/>
    <w:p>
      <w:pPr>
        <w:pStyle w:val="Heading1"/>
      </w:pPr>
      <w:r>
        <w:t>Author Agreement Statement</w:t>
      </w:r>
    </w:p>
    <w:p>
      <w:r>
        <w:t>We the undersigned declare that this manuscript is original, has not been published before and is not currently being considered for publication elsewhere.</w:t>
      </w:r>
    </w:p>
    <w:p>
      <w:r>
        <w:t>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p>
    <w:p>
      <w:r>
        <w:t>We understand that the Corresponding Author is the sole contact for the editorial process. The Corresponding Author is responsible for communicating with the other authors about progress, submissions of revisions, and final approval of proofs.</w:t>
      </w:r>
    </w:p>
    <w:p>
      <w:pPr>
        <w:pStyle w:val="Heading1"/>
      </w:pPr>
      <w:r>
        <w:t>Author Signatures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2F4F7"/>
          </w:tcPr>
          <w:p>
            <w:pPr>
              <w:spacing w:after="0"/>
            </w:pPr>
            <w:r/>
            <w:r>
              <w:rPr>
                <w:rFonts w:ascii="Calibri" w:hAnsi="Calibri"/>
                <w:b/>
                <w:sz w:val="20"/>
              </w:rPr>
              <w:t>Author name</w:t>
            </w:r>
          </w:p>
        </w:tc>
        <w:tc>
          <w:tcPr>
            <w:tcW w:type="dxa" w:w="2340"/>
            <w:shd w:fill="F2F4F7"/>
          </w:tcPr>
          <w:p>
            <w:pPr>
              <w:spacing w:after="0"/>
            </w:pPr>
            <w:r/>
            <w:r>
              <w:rPr>
                <w:rFonts w:ascii="Calibri" w:hAnsi="Calibri"/>
                <w:b/>
                <w:sz w:val="20"/>
              </w:rPr>
              <w:t>Role</w:t>
            </w:r>
          </w:p>
        </w:tc>
        <w:tc>
          <w:tcPr>
            <w:tcW w:type="dxa" w:w="2340"/>
            <w:shd w:fill="F2F4F7"/>
          </w:tcPr>
          <w:p>
            <w:pPr>
              <w:spacing w:after="0"/>
            </w:pPr>
            <w:r/>
            <w:r>
              <w:rPr>
                <w:rFonts w:ascii="Calibri" w:hAnsi="Calibri"/>
                <w:b/>
                <w:sz w:val="20"/>
              </w:rPr>
              <w:t>Signature</w:t>
            </w:r>
          </w:p>
        </w:tc>
        <w:tc>
          <w:tcPr>
            <w:tcW w:type="dxa" w:w="2340"/>
            <w:shd w:fill="F2F4F7"/>
          </w:tcPr>
          <w:p>
            <w:pPr>
              <w:spacing w:after="0"/>
            </w:pPr>
            <w:r/>
            <w:r>
              <w:rPr>
                <w:rFonts w:ascii="Calibri" w:hAnsi="Calibri"/>
                <w:b/>
                <w:sz w:val="20"/>
              </w:rPr>
              <w:t>Date</w:t>
            </w:r>
          </w:p>
        </w:tc>
      </w:tr>
      <w:tr>
        <w:tc>
          <w:tcPr>
            <w:tcW w:type="dxa" w:w="2340"/>
          </w:tcPr>
          <w:p>
            <w:pPr>
              <w:spacing w:after="0"/>
            </w:pPr>
            <w:r/>
            <w:r>
              <w:rPr>
                <w:rFonts w:ascii="Calibri" w:hAnsi="Calibri"/>
                <w:b w:val="0"/>
                <w:sz w:val="20"/>
              </w:rPr>
              <w:t>Chenhao Ying</w:t>
            </w:r>
          </w:p>
        </w:tc>
        <w:tc>
          <w:tcPr>
            <w:tcW w:type="dxa" w:w="2340"/>
          </w:tcPr>
          <w:p>
            <w:pPr>
              <w:spacing w:after="0"/>
            </w:pPr>
            <w:r/>
            <w:r>
              <w:rPr>
                <w:rFonts w:ascii="Calibri" w:hAnsi="Calibri"/>
                <w:b w:val="0"/>
                <w:sz w:val="20"/>
              </w:rPr>
              <w:t>Author</w:t>
            </w:r>
          </w:p>
        </w:tc>
        <w:tc>
          <w:tcPr>
            <w:tcW w:type="dxa" w:w="2340"/>
          </w:tcPr>
          <w:p>
            <w:pPr>
              <w:spacing w:after="0"/>
            </w:pPr>
            <w:r/>
            <w:r>
              <w:rPr>
                <w:rFonts w:ascii="Calibri" w:hAnsi="Calibri"/>
                <w:b w:val="0"/>
                <w:sz w:val="20"/>
              </w:rPr>
            </w:r>
          </w:p>
        </w:tc>
        <w:tc>
          <w:tcPr>
            <w:tcW w:type="dxa" w:w="2340"/>
          </w:tcPr>
          <w:p>
            <w:pPr>
              <w:spacing w:after="0"/>
            </w:pPr>
            <w:r/>
            <w:r>
              <w:rPr>
                <w:rFonts w:ascii="Calibri" w:hAnsi="Calibri"/>
                <w:b w:val="0"/>
                <w:sz w:val="20"/>
              </w:rPr>
            </w:r>
          </w:p>
        </w:tc>
      </w:tr>
      <w:tr>
        <w:tc>
          <w:tcPr>
            <w:tcW w:type="dxa" w:w="2340"/>
          </w:tcPr>
          <w:p>
            <w:pPr>
              <w:spacing w:after="0"/>
            </w:pPr>
            <w:r/>
            <w:r>
              <w:rPr>
                <w:rFonts w:ascii="Calibri" w:hAnsi="Calibri"/>
                <w:b w:val="0"/>
                <w:sz w:val="20"/>
              </w:rPr>
              <w:t>Jiangang Lu</w:t>
            </w:r>
          </w:p>
        </w:tc>
        <w:tc>
          <w:tcPr>
            <w:tcW w:type="dxa" w:w="2340"/>
          </w:tcPr>
          <w:p>
            <w:pPr>
              <w:spacing w:after="0"/>
            </w:pPr>
            <w:r/>
            <w:r>
              <w:rPr>
                <w:rFonts w:ascii="Calibri" w:hAnsi="Calibri"/>
                <w:b w:val="0"/>
                <w:sz w:val="20"/>
              </w:rPr>
              <w:t>Corresponding Author</w:t>
            </w:r>
          </w:p>
        </w:tc>
        <w:tc>
          <w:tcPr>
            <w:tcW w:type="dxa" w:w="2340"/>
          </w:tcPr>
          <w:p>
            <w:pPr>
              <w:spacing w:after="0"/>
            </w:pPr>
            <w:r/>
            <w:r>
              <w:rPr>
                <w:rFonts w:ascii="Calibri" w:hAnsi="Calibri"/>
                <w:b w:val="0"/>
                <w:sz w:val="20"/>
              </w:rPr>
            </w:r>
          </w:p>
        </w:tc>
        <w:tc>
          <w:tcPr>
            <w:tcW w:type="dxa" w:w="2340"/>
          </w:tcPr>
          <w:p>
            <w:pPr>
              <w:spacing w:after="0"/>
            </w:pPr>
            <w:r/>
            <w:r>
              <w:rPr>
                <w:rFonts w:ascii="Calibri" w:hAnsi="Calibri"/>
                <w:b w:val="0"/>
                <w:sz w:val="20"/>
              </w:rPr>
            </w:r>
          </w:p>
        </w:tc>
      </w:tr>
    </w:tbl>
    <w:p>
      <w:r>
        <w:t>[To be signed or otherwise completed according to the Editorial Manager upload requirement.]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Revision document scaffold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KNOSYS-D-26-03771 | Knowledge-Based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