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Highlights</w:t>
      </w:r>
    </w:p>
    <w:p>
      <w:pPr>
        <w:jc w:val="center"/>
      </w:pPr>
      <w:r>
        <w:rPr>
          <w:i/>
          <w:color w:val="595959"/>
          <w:sz w:val="22"/>
        </w:rPr>
        <w:t>Separate editable highlights 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Manuscript 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KNOSYS-D-26-03771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Title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PDT: Predictive Domain Transform for Multivariate Time Series Forecasting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Journal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Knowledge-Based Systems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Working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May 7, 2026</w:t>
            </w:r>
          </w:p>
        </w:tc>
      </w:tr>
    </w:tbl>
    <w:p/>
    <w:p>
      <w:pPr>
        <w:pStyle w:val="Heading1"/>
      </w:pPr>
      <w:r>
        <w:t>Highlights</w:t>
      </w:r>
    </w:p>
    <w:p>
      <w:pPr>
        <w:pStyle w:val="ListBullet"/>
      </w:pPr>
      <w:r>
        <w:t>A prediction-optimized adaptive transform is proposed for MTSF.</w:t>
      </w:r>
    </w:p>
    <w:p>
      <w:pPr>
        <w:pStyle w:val="ListBullet"/>
      </w:pPr>
      <w:r>
        <w:t>A dual-route PDT architecture separates dominant and residual dynamics.</w:t>
      </w:r>
    </w:p>
    <w:p>
      <w:pPr>
        <w:pStyle w:val="ListBullet"/>
      </w:pPr>
      <w:r>
        <w:t>MCD selectively fuses informative channels with lightweight attention.</w:t>
      </w:r>
    </w:p>
    <w:p>
      <w:pPr>
        <w:pStyle w:val="ListBullet"/>
      </w:pPr>
      <w:r>
        <w:t>PDT improves accuracy and efficiency across benchmark datasets.</w:t>
      </w:r>
    </w:p>
    <w:p>
      <w:r>
        <w:t>Note: Each bullet is drafted to stay within the 85-character KBS highlight limit.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Revision document scaffold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KNOSYS-D-26-03771 | Knowledge-Based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