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1752" w14:textId="77777777" w:rsidR="00273C33" w:rsidRPr="009450B5" w:rsidRDefault="00D441EA" w:rsidP="005403BF">
      <w:pPr>
        <w:spacing w:line="240" w:lineRule="auto"/>
        <w:jc w:val="center"/>
        <w:rPr>
          <w:b/>
          <w:bCs/>
          <w:sz w:val="32"/>
          <w:szCs w:val="32"/>
        </w:rPr>
      </w:pPr>
      <w:r w:rsidRPr="009450B5">
        <w:rPr>
          <w:b/>
          <w:bCs/>
          <w:sz w:val="32"/>
          <w:szCs w:val="32"/>
        </w:rPr>
        <w:t xml:space="preserve">When High R² Misleads: Diagnosing False Predictive Signals in </w:t>
      </w:r>
      <w:proofErr w:type="spellStart"/>
      <w:r w:rsidRPr="009450B5">
        <w:rPr>
          <w:b/>
          <w:bCs/>
          <w:sz w:val="32"/>
          <w:szCs w:val="32"/>
        </w:rPr>
        <w:t>Resistome</w:t>
      </w:r>
      <w:proofErr w:type="spellEnd"/>
      <w:r w:rsidRPr="009450B5">
        <w:rPr>
          <w:b/>
          <w:bCs/>
          <w:sz w:val="32"/>
          <w:szCs w:val="32"/>
        </w:rPr>
        <w:t>–Mobilome Time Series</w:t>
      </w:r>
    </w:p>
    <w:p w14:paraId="11836036" w14:textId="77777777" w:rsidR="00273C33" w:rsidRPr="005403BF" w:rsidRDefault="00273C33" w:rsidP="005403BF">
      <w:pPr>
        <w:spacing w:line="240" w:lineRule="auto"/>
        <w:jc w:val="center"/>
        <w:rPr>
          <w:rFonts w:ascii="Times New Roman" w:eastAsia="Times New Roman" w:hAnsi="Times New Roman" w:cs="Times New Roman"/>
          <w:b/>
          <w:bCs/>
        </w:rPr>
      </w:pPr>
    </w:p>
    <w:p w14:paraId="780EACAA" w14:textId="77777777" w:rsidR="00273C33" w:rsidRPr="005403BF" w:rsidRDefault="00D441EA" w:rsidP="005403BF">
      <w:pPr>
        <w:spacing w:line="240" w:lineRule="auto"/>
        <w:jc w:val="center"/>
        <w:rPr>
          <w:rFonts w:ascii="Times New Roman" w:eastAsia="Times New Roman" w:hAnsi="Times New Roman" w:cs="Times New Roman"/>
          <w:b/>
          <w:bCs/>
          <w:sz w:val="24"/>
          <w:szCs w:val="24"/>
        </w:rPr>
      </w:pPr>
      <w:r w:rsidRPr="005403BF">
        <w:rPr>
          <w:rFonts w:ascii="Times New Roman" w:eastAsia="Times New Roman" w:hAnsi="Times New Roman" w:cs="Times New Roman"/>
          <w:b/>
          <w:bCs/>
          <w:sz w:val="24"/>
          <w:szCs w:val="24"/>
        </w:rPr>
        <w:t>Chenhao Zhang¹*, Ashley Fang</w:t>
      </w:r>
      <w:r w:rsidRPr="005403BF">
        <w:rPr>
          <w:rFonts w:ascii="Times New Roman" w:eastAsia="Times New Roman" w:hAnsi="Times New Roman" w:cs="Times New Roman"/>
          <w:b/>
          <w:bCs/>
          <w:sz w:val="24"/>
          <w:szCs w:val="24"/>
          <w:vertAlign w:val="superscript"/>
        </w:rPr>
        <w:t>1</w:t>
      </w:r>
      <w:r w:rsidRPr="005403BF">
        <w:rPr>
          <w:rFonts w:ascii="Times New Roman" w:eastAsia="Times New Roman" w:hAnsi="Times New Roman" w:cs="Times New Roman"/>
          <w:b/>
          <w:bCs/>
          <w:sz w:val="24"/>
          <w:szCs w:val="24"/>
        </w:rPr>
        <w:t>*, Eliana Wong</w:t>
      </w:r>
      <w:r w:rsidRPr="005403BF">
        <w:rPr>
          <w:rFonts w:ascii="Times New Roman" w:eastAsia="Times New Roman" w:hAnsi="Times New Roman" w:cs="Times New Roman"/>
          <w:b/>
          <w:bCs/>
          <w:sz w:val="24"/>
          <w:szCs w:val="24"/>
          <w:vertAlign w:val="superscript"/>
        </w:rPr>
        <w:t>1</w:t>
      </w:r>
      <w:r w:rsidRPr="005403BF">
        <w:rPr>
          <w:rFonts w:ascii="Times New Roman" w:eastAsia="Times New Roman" w:hAnsi="Times New Roman" w:cs="Times New Roman"/>
          <w:b/>
          <w:bCs/>
          <w:sz w:val="24"/>
          <w:szCs w:val="24"/>
        </w:rPr>
        <w:t xml:space="preserve">*, </w:t>
      </w:r>
      <w:proofErr w:type="spellStart"/>
      <w:r w:rsidRPr="005403BF">
        <w:rPr>
          <w:rFonts w:ascii="Times New Roman" w:eastAsia="Times New Roman" w:hAnsi="Times New Roman" w:cs="Times New Roman"/>
          <w:b/>
          <w:bCs/>
          <w:sz w:val="24"/>
          <w:szCs w:val="24"/>
        </w:rPr>
        <w:t>Wanze</w:t>
      </w:r>
      <w:proofErr w:type="spellEnd"/>
      <w:r w:rsidRPr="005403BF">
        <w:rPr>
          <w:rFonts w:ascii="Times New Roman" w:eastAsia="Times New Roman" w:hAnsi="Times New Roman" w:cs="Times New Roman"/>
          <w:b/>
          <w:bCs/>
          <w:sz w:val="24"/>
          <w:szCs w:val="24"/>
        </w:rPr>
        <w:t xml:space="preserve"> Tang</w:t>
      </w:r>
      <w:r w:rsidRPr="005403BF">
        <w:rPr>
          <w:rFonts w:ascii="Times New Roman" w:eastAsia="Times New Roman" w:hAnsi="Times New Roman" w:cs="Times New Roman"/>
          <w:b/>
          <w:bCs/>
          <w:sz w:val="24"/>
          <w:szCs w:val="24"/>
          <w:vertAlign w:val="superscript"/>
        </w:rPr>
        <w:t>1</w:t>
      </w:r>
      <w:r w:rsidRPr="005403BF">
        <w:rPr>
          <w:rFonts w:ascii="Times New Roman" w:eastAsia="Times New Roman" w:hAnsi="Times New Roman" w:cs="Times New Roman"/>
          <w:b/>
          <w:bCs/>
          <w:sz w:val="24"/>
          <w:szCs w:val="24"/>
        </w:rPr>
        <w:t>*, Yujie Men², Linda Shi</w:t>
      </w:r>
      <w:r w:rsidRPr="005403BF">
        <w:rPr>
          <w:rFonts w:ascii="Times New Roman" w:eastAsia="Times New Roman" w:hAnsi="Times New Roman" w:cs="Times New Roman"/>
          <w:b/>
          <w:bCs/>
          <w:sz w:val="24"/>
          <w:szCs w:val="24"/>
          <w:vertAlign w:val="superscript"/>
        </w:rPr>
        <w:t>1</w:t>
      </w:r>
    </w:p>
    <w:p w14:paraId="6602E6AC"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b/>
          <w:bCs/>
          <w:vertAlign w:val="superscript"/>
        </w:rPr>
        <w:t>1</w:t>
      </w:r>
      <w:r w:rsidRPr="005403BF">
        <w:rPr>
          <w:rFonts w:ascii="Times New Roman" w:eastAsia="Times New Roman" w:hAnsi="Times New Roman" w:cs="Times New Roman"/>
        </w:rPr>
        <w:t>Institute of Engineering in Medicine, University of California, San Diego, San Diego, La Jolla, CA 92095</w:t>
      </w:r>
    </w:p>
    <w:p w14:paraId="18584A80"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b/>
          <w:bCs/>
          <w:vertAlign w:val="superscript"/>
        </w:rPr>
        <w:t>2</w:t>
      </w:r>
      <w:r w:rsidRPr="005403BF">
        <w:rPr>
          <w:rFonts w:ascii="Times New Roman" w:eastAsia="Times New Roman" w:hAnsi="Times New Roman" w:cs="Times New Roman"/>
        </w:rPr>
        <w:t>Department of Chemical and Environmental Engineering, University of California, Riverside, California 92521</w:t>
      </w:r>
    </w:p>
    <w:p w14:paraId="0E2EC733"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Corresponding author: zshi@ucsd.edu</w:t>
      </w:r>
    </w:p>
    <w:p w14:paraId="339CB9EF"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*High school students participating in IEM OPALS program</w:t>
      </w:r>
    </w:p>
    <w:p w14:paraId="1E95C777" w14:textId="77777777" w:rsidR="00273C33" w:rsidRPr="005403BF" w:rsidRDefault="00273C33" w:rsidP="005403BF">
      <w:pPr>
        <w:spacing w:line="240" w:lineRule="auto"/>
        <w:rPr>
          <w:rFonts w:ascii="Times New Roman" w:eastAsia="Times New Roman" w:hAnsi="Times New Roman" w:cs="Times New Roman"/>
          <w:b/>
          <w:bCs/>
        </w:rPr>
      </w:pPr>
    </w:p>
    <w:p w14:paraId="7311D833" w14:textId="77777777" w:rsidR="00273C33" w:rsidRPr="005403BF" w:rsidRDefault="00273C33" w:rsidP="005403BF">
      <w:pPr>
        <w:spacing w:line="240" w:lineRule="auto"/>
        <w:rPr>
          <w:rFonts w:ascii="Times New Roman" w:eastAsia="Times New Roman" w:hAnsi="Times New Roman" w:cs="Times New Roman"/>
          <w:b/>
          <w:bCs/>
        </w:rPr>
      </w:pPr>
    </w:p>
    <w:p w14:paraId="0EA010AB" w14:textId="77777777" w:rsidR="00273C33" w:rsidRPr="005403BF" w:rsidRDefault="00D441EA" w:rsidP="005403BF">
      <w:pPr>
        <w:spacing w:line="240" w:lineRule="auto"/>
        <w:rPr>
          <w:rFonts w:ascii="Times New Roman" w:eastAsia="Times New Roman" w:hAnsi="Times New Roman" w:cs="Times New Roman"/>
          <w:i/>
          <w:iCs/>
          <w:sz w:val="20"/>
          <w:szCs w:val="20"/>
        </w:rPr>
      </w:pPr>
      <w:r w:rsidRPr="005403BF">
        <w:rPr>
          <w:rFonts w:eastAsia="Times New Roman"/>
          <w:b/>
          <w:bCs/>
          <w:i/>
          <w:iCs/>
        </w:rPr>
        <w:t>Abstract</w:t>
      </w:r>
      <w:r w:rsidRPr="005403BF">
        <w:rPr>
          <w:rFonts w:ascii="Times New Roman" w:eastAsia="Times New Roman" w:hAnsi="Times New Roman" w:cs="Times New Roman"/>
          <w:b/>
          <w:bCs/>
          <w:i/>
          <w:iCs/>
        </w:rPr>
        <w:t xml:space="preserve"> </w:t>
      </w:r>
      <w:proofErr w:type="gramStart"/>
      <w:r w:rsidRPr="005403BF">
        <w:rPr>
          <w:rFonts w:ascii="Times New Roman" w:eastAsia="Times New Roman" w:hAnsi="Times New Roman" w:cs="Times New Roman"/>
          <w:b/>
          <w:bCs/>
        </w:rPr>
        <w:t>-</w:t>
      </w:r>
      <w:r w:rsidRPr="005403BF">
        <w:rPr>
          <w:rFonts w:ascii="Times New Roman" w:eastAsia="Times New Roman" w:hAnsi="Times New Roman" w:cs="Times New Roman"/>
        </w:rPr>
        <w:t xml:space="preserve"> </w:t>
      </w:r>
      <w:r w:rsidRPr="005403BF">
        <w:rPr>
          <w:rFonts w:ascii="Times New Roman" w:eastAsia="Gungsuh" w:hAnsi="Times New Roman" w:cs="Times New Roman"/>
          <w:i/>
          <w:iCs/>
          <w:sz w:val="20"/>
          <w:szCs w:val="20"/>
        </w:rPr>
        <w:t xml:space="preserve"> One</w:t>
      </w:r>
      <w:proofErr w:type="gramEnd"/>
      <w:r w:rsidRPr="005403BF">
        <w:rPr>
          <w:rFonts w:ascii="Times New Roman" w:eastAsia="Gungsuh" w:hAnsi="Times New Roman" w:cs="Times New Roman"/>
          <w:i/>
          <w:iCs/>
          <w:sz w:val="20"/>
          <w:szCs w:val="20"/>
        </w:rPr>
        <w:t xml:space="preserve"> natural early-warning model and analysis used for resistance surveillance is a lag regression linking mobile genetic element (MGE) abundance at a certain instance of antibiotic resistance gene (ARG) burden in the future. We demonstrate that such models can produce a high predictive performance driven by </w:t>
      </w:r>
      <w:proofErr w:type="gramStart"/>
      <w:r w:rsidRPr="005403BF">
        <w:rPr>
          <w:rFonts w:ascii="Times New Roman" w:eastAsia="Gungsuh" w:hAnsi="Times New Roman" w:cs="Times New Roman"/>
          <w:i/>
          <w:iCs/>
          <w:sz w:val="20"/>
          <w:szCs w:val="20"/>
        </w:rPr>
        <w:t>between-study confounding</w:t>
      </w:r>
      <w:proofErr w:type="gramEnd"/>
      <w:r w:rsidRPr="005403BF">
        <w:rPr>
          <w:rFonts w:ascii="Times New Roman" w:eastAsia="Gungsuh" w:hAnsi="Times New Roman" w:cs="Times New Roman"/>
          <w:i/>
          <w:iCs/>
          <w:sz w:val="20"/>
          <w:szCs w:val="20"/>
        </w:rPr>
        <w:t xml:space="preserve"> rather than actual temporal coupling, misleading results. We derive 14 regression-complete lag pairs using a complete bioinformatics pipeline, using 19 shotgun metagenomes across four environmental time series (Chesapeake Bay WGA and two Bulgaria Iskar River sites</w:t>
      </w:r>
      <w:proofErr w:type="gramStart"/>
      <w:r w:rsidRPr="005403BF">
        <w:rPr>
          <w:rFonts w:ascii="Times New Roman" w:eastAsia="Gungsuh" w:hAnsi="Times New Roman" w:cs="Times New Roman"/>
          <w:i/>
          <w:iCs/>
          <w:sz w:val="20"/>
          <w:szCs w:val="20"/>
        </w:rPr>
        <w:t>).The</w:t>
      </w:r>
      <w:proofErr w:type="gramEnd"/>
      <w:r w:rsidRPr="005403BF">
        <w:rPr>
          <w:rFonts w:ascii="Times New Roman" w:eastAsia="Gungsuh" w:hAnsi="Times New Roman" w:cs="Times New Roman"/>
          <w:i/>
          <w:iCs/>
          <w:sz w:val="20"/>
          <w:szCs w:val="20"/>
        </w:rPr>
        <w:t xml:space="preserve"> naive forward lag model gives us R² = 0.720, but six independent diagnostic tests all return null.  This demonstrates how differencing collapses the signal (R²=0.020), and Granger </w:t>
      </w:r>
      <w:proofErr w:type="gramStart"/>
      <w:r w:rsidRPr="005403BF">
        <w:rPr>
          <w:rFonts w:ascii="Times New Roman" w:eastAsia="Gungsuh" w:hAnsi="Times New Roman" w:cs="Times New Roman"/>
          <w:i/>
          <w:iCs/>
          <w:sz w:val="20"/>
          <w:szCs w:val="20"/>
        </w:rPr>
        <w:t>added-value</w:t>
      </w:r>
      <w:proofErr w:type="gramEnd"/>
      <w:r w:rsidRPr="005403BF">
        <w:rPr>
          <w:rFonts w:ascii="Times New Roman" w:eastAsia="Gungsuh" w:hAnsi="Times New Roman" w:cs="Times New Roman"/>
          <w:i/>
          <w:iCs/>
          <w:sz w:val="20"/>
          <w:szCs w:val="20"/>
        </w:rPr>
        <w:t xml:space="preserve"> is negligible (delta R²=0.014, p=0.539). The within-study coefficient is negative in the densest series (−33.0, n=10). A calibration simulation (N=2,000) shows naive lag models yield R²&gt;0.70 in 94% of null runs (median 0.848), and the observed R²=0.720 falls below the null median. The central finding is that standard lag model evidence cannot distinguish null from true-signal conditions in multi-study metagenome </w:t>
      </w:r>
      <w:proofErr w:type="gramStart"/>
      <w:r w:rsidRPr="005403BF">
        <w:rPr>
          <w:rFonts w:ascii="Times New Roman" w:eastAsia="Gungsuh" w:hAnsi="Times New Roman" w:cs="Times New Roman"/>
          <w:i/>
          <w:iCs/>
          <w:sz w:val="20"/>
          <w:szCs w:val="20"/>
        </w:rPr>
        <w:t>designs, and</w:t>
      </w:r>
      <w:proofErr w:type="gramEnd"/>
      <w:r w:rsidRPr="005403BF">
        <w:rPr>
          <w:rFonts w:ascii="Times New Roman" w:eastAsia="Gungsuh" w:hAnsi="Times New Roman" w:cs="Times New Roman"/>
          <w:i/>
          <w:iCs/>
          <w:sz w:val="20"/>
          <w:szCs w:val="20"/>
        </w:rPr>
        <w:t xml:space="preserve"> should instead prefer our diagnostic battery as a template for finding true signal conditions.</w:t>
      </w:r>
    </w:p>
    <w:p w14:paraId="2DAC3894" w14:textId="77777777" w:rsidR="00273C33" w:rsidRPr="005403BF" w:rsidRDefault="00273C33" w:rsidP="005403BF">
      <w:pPr>
        <w:spacing w:line="240" w:lineRule="auto"/>
        <w:rPr>
          <w:rFonts w:ascii="Times New Roman" w:eastAsia="Times New Roman" w:hAnsi="Times New Roman" w:cs="Times New Roman"/>
          <w:i/>
          <w:iCs/>
          <w:sz w:val="20"/>
          <w:szCs w:val="20"/>
        </w:rPr>
      </w:pPr>
    </w:p>
    <w:p w14:paraId="4303520B" w14:textId="77777777" w:rsidR="00273C33" w:rsidRPr="005403BF" w:rsidRDefault="00D441EA" w:rsidP="005403BF">
      <w:pPr>
        <w:spacing w:line="240" w:lineRule="auto"/>
        <w:rPr>
          <w:rFonts w:ascii="Times New Roman" w:eastAsia="Times New Roman" w:hAnsi="Times New Roman" w:cs="Times New Roman"/>
        </w:rPr>
      </w:pPr>
      <w:r w:rsidRPr="005403BF">
        <w:rPr>
          <w:b/>
          <w:bCs/>
          <w:i/>
          <w:iCs/>
          <w:sz w:val="20"/>
          <w:szCs w:val="20"/>
        </w:rPr>
        <w:t>Keywords</w:t>
      </w:r>
      <w:r w:rsidRPr="005403BF">
        <w:rPr>
          <w:rFonts w:ascii="Times New Roman" w:hAnsi="Times New Roman" w:cs="Times New Roman"/>
          <w:b/>
          <w:bCs/>
          <w:i/>
          <w:iCs/>
          <w:sz w:val="20"/>
          <w:szCs w:val="20"/>
        </w:rPr>
        <w:t>:</w:t>
      </w:r>
      <w:r w:rsidRPr="005403BF">
        <w:rPr>
          <w:rFonts w:ascii="Times New Roman" w:eastAsia="Times New Roman" w:hAnsi="Times New Roman" w:cs="Times New Roman"/>
        </w:rPr>
        <w:t xml:space="preserve"> ARG surveillance, mobilome, lag regression, observational equivalence, temporal confounding, Granger-style test, calibration simulation, time-series diagnostics</w:t>
      </w:r>
    </w:p>
    <w:p w14:paraId="716F4663" w14:textId="77777777" w:rsidR="00273C33" w:rsidRPr="005403BF" w:rsidRDefault="00273C33" w:rsidP="005403BF">
      <w:pPr>
        <w:pBdr>
          <w:bottom w:val="none" w:sz="0" w:space="5" w:color="auto"/>
        </w:pBdr>
        <w:spacing w:line="240" w:lineRule="auto"/>
        <w:rPr>
          <w:rFonts w:ascii="Times New Roman" w:eastAsia="Times New Roman" w:hAnsi="Times New Roman" w:cs="Times New Roman"/>
        </w:rPr>
      </w:pPr>
    </w:p>
    <w:p w14:paraId="54EC2E5D" w14:textId="77777777" w:rsidR="00273C33" w:rsidRPr="005403BF" w:rsidRDefault="00D441EA" w:rsidP="005403BF">
      <w:pPr>
        <w:pBdr>
          <w:bottom w:val="none" w:sz="0" w:space="5" w:color="auto"/>
        </w:pBdr>
        <w:spacing w:line="240" w:lineRule="auto"/>
        <w:rPr>
          <w:b/>
          <w:bCs/>
          <w:sz w:val="24"/>
          <w:szCs w:val="24"/>
        </w:rPr>
      </w:pPr>
      <w:r w:rsidRPr="005403BF">
        <w:rPr>
          <w:b/>
          <w:bCs/>
          <w:sz w:val="24"/>
          <w:szCs w:val="24"/>
        </w:rPr>
        <w:t>1. Introduction</w:t>
      </w:r>
    </w:p>
    <w:p w14:paraId="0FA407AA" w14:textId="77777777" w:rsidR="007931B5" w:rsidRDefault="00D441EA" w:rsidP="007931B5">
      <w:pPr>
        <w:pBdr>
          <w:bottom w:val="none" w:sz="0" w:space="5" w:color="auto"/>
        </w:pBd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 xml:space="preserve">Environmental ARG surveillance requires leading indicators, with lag predictions and mobile genetic elements (MGEs) as natural candidates, since they mediate horizontal gene transfer and are frequently co-detected with ARGs [1]. Lag regressions linking MGE(t) to ARG(t+1) can yield high R² and coefficients even when the predictor contributes no independent signal </w:t>
      </w:r>
      <w:proofErr w:type="gramStart"/>
      <w:r w:rsidRPr="005403BF">
        <w:rPr>
          <w:rFonts w:ascii="Times New Roman" w:eastAsia="Times New Roman" w:hAnsi="Times New Roman" w:cs="Times New Roman"/>
        </w:rPr>
        <w:t>as a result of</w:t>
      </w:r>
      <w:proofErr w:type="gramEnd"/>
      <w:r w:rsidRPr="005403BF">
        <w:rPr>
          <w:rFonts w:ascii="Times New Roman" w:eastAsia="Times New Roman" w:hAnsi="Times New Roman" w:cs="Times New Roman"/>
        </w:rPr>
        <w:t xml:space="preserve"> shared autocorrelation and between-study ARG scale differences, posing a methodological risk. If the apparent signal is entirely confounded due to these variables, decisions such as building accommodating surveillance infrastructure that </w:t>
      </w:r>
      <w:proofErr w:type="gramStart"/>
      <w:r w:rsidRPr="005403BF">
        <w:rPr>
          <w:rFonts w:ascii="Times New Roman" w:eastAsia="Times New Roman" w:hAnsi="Times New Roman" w:cs="Times New Roman"/>
        </w:rPr>
        <w:t>rely</w:t>
      </w:r>
      <w:proofErr w:type="gramEnd"/>
      <w:r w:rsidRPr="005403BF">
        <w:rPr>
          <w:rFonts w:ascii="Times New Roman" w:eastAsia="Times New Roman" w:hAnsi="Times New Roman" w:cs="Times New Roman"/>
        </w:rPr>
        <w:t xml:space="preserve"> on studies could be misplaced.</w:t>
      </w:r>
    </w:p>
    <w:p w14:paraId="4AB47374" w14:textId="1CA8B7E8" w:rsidR="00273C33" w:rsidRPr="005403BF" w:rsidRDefault="00D441EA" w:rsidP="007931B5">
      <w:pPr>
        <w:pBdr>
          <w:bottom w:val="none" w:sz="0" w:space="5" w:color="auto"/>
        </w:pBd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 xml:space="preserve">We present an empirical demonstration that standard lag model evidence is observationally equivalent under null and true-signal conditions in a real metagenomic </w:t>
      </w:r>
      <w:proofErr w:type="spellStart"/>
      <w:r w:rsidRPr="005403BF">
        <w:rPr>
          <w:rFonts w:ascii="Times New Roman" w:eastAsia="Times New Roman" w:hAnsi="Times New Roman" w:cs="Times New Roman"/>
        </w:rPr>
        <w:t>resistome</w:t>
      </w:r>
      <w:proofErr w:type="spellEnd"/>
      <w:r w:rsidRPr="005403BF">
        <w:rPr>
          <w:rFonts w:ascii="Times New Roman" w:eastAsia="Times New Roman" w:hAnsi="Times New Roman" w:cs="Times New Roman"/>
        </w:rPr>
        <w:t xml:space="preserve"> dataset, paired with a calibration simulation to create and prove our diagnostic battery’s ability to distinguish the two. </w:t>
      </w:r>
      <w:r w:rsidRPr="005403BF">
        <w:rPr>
          <w:rFonts w:ascii="Times New Roman" w:eastAsia="Times New Roman" w:hAnsi="Times New Roman" w:cs="Times New Roman"/>
        </w:rPr>
        <w:br/>
        <w:t xml:space="preserve">We apply a complete bioinformatics pipeline on 19 real shotgun metagenome samples while using a nine-test diagnostic battery on the lag model. The broader microbiome time-series literature has emphasized the need for standardized evaluation [2]; recent work has re-examined when Granger-style inference is valid for ecological count data [3]; and emerging forecasting tools [4] make reliable evaluation increasingly necessary in the field. The framework introduced here operationalizes these standards in a </w:t>
      </w:r>
      <w:proofErr w:type="spellStart"/>
      <w:r w:rsidRPr="005403BF">
        <w:rPr>
          <w:rFonts w:ascii="Times New Roman" w:eastAsia="Times New Roman" w:hAnsi="Times New Roman" w:cs="Times New Roman"/>
        </w:rPr>
        <w:t>resistome</w:t>
      </w:r>
      <w:proofErr w:type="spellEnd"/>
      <w:r w:rsidRPr="005403BF">
        <w:rPr>
          <w:rFonts w:ascii="Times New Roman" w:eastAsia="Times New Roman" w:hAnsi="Times New Roman" w:cs="Times New Roman"/>
        </w:rPr>
        <w:t xml:space="preserve"> context.</w:t>
      </w:r>
    </w:p>
    <w:p w14:paraId="0C578F6A" w14:textId="77777777" w:rsidR="005403BF" w:rsidRPr="005403BF" w:rsidRDefault="005403BF" w:rsidP="005403BF">
      <w:pPr>
        <w:spacing w:line="240" w:lineRule="auto"/>
        <w:rPr>
          <w:rFonts w:ascii="Times New Roman" w:eastAsia="Times New Roman" w:hAnsi="Times New Roman" w:cs="Times New Roman"/>
        </w:rPr>
      </w:pPr>
    </w:p>
    <w:p w14:paraId="1EB0726E" w14:textId="77777777" w:rsidR="00273C33" w:rsidRPr="005403BF" w:rsidRDefault="00D441EA" w:rsidP="005403BF">
      <w:pPr>
        <w:pBdr>
          <w:bottom w:val="none" w:sz="0" w:space="5" w:color="auto"/>
        </w:pBdr>
        <w:spacing w:line="240" w:lineRule="auto"/>
        <w:rPr>
          <w:b/>
          <w:bCs/>
          <w:sz w:val="24"/>
          <w:szCs w:val="24"/>
        </w:rPr>
      </w:pPr>
      <w:r w:rsidRPr="005403BF">
        <w:rPr>
          <w:b/>
          <w:bCs/>
          <w:sz w:val="24"/>
          <w:szCs w:val="24"/>
        </w:rPr>
        <w:t>2. Methods</w:t>
      </w:r>
    </w:p>
    <w:p w14:paraId="165877A9" w14:textId="77777777" w:rsidR="007931B5" w:rsidRDefault="00D441EA" w:rsidP="005403BF">
      <w:pPr>
        <w:spacing w:line="240" w:lineRule="auto"/>
        <w:rPr>
          <w:b/>
          <w:bCs/>
        </w:rPr>
      </w:pPr>
      <w:r w:rsidRPr="005403BF">
        <w:rPr>
          <w:b/>
          <w:bCs/>
        </w:rPr>
        <w:t>2.1. Data Sources and Temporal Cohort</w:t>
      </w:r>
    </w:p>
    <w:p w14:paraId="34093380" w14:textId="24FCEE8E" w:rsidR="00273C33" w:rsidRPr="007931B5" w:rsidRDefault="00D441EA" w:rsidP="007931B5">
      <w:pPr>
        <w:spacing w:line="240" w:lineRule="auto"/>
        <w:ind w:firstLine="720"/>
        <w:rPr>
          <w:b/>
          <w:bCs/>
        </w:rPr>
      </w:pPr>
      <w:r w:rsidRPr="005403BF">
        <w:rPr>
          <w:rFonts w:ascii="Times New Roman" w:eastAsia="Gungsuh" w:hAnsi="Times New Roman" w:cs="Times New Roman"/>
        </w:rPr>
        <w:lastRenderedPageBreak/>
        <w:t xml:space="preserve">We assembled a temporal cohort from two published studies with known, ordered collection timestamps. PRJNA599167 (Chesapeake Bay, USA, May 2017) provides 11 WGA shotgun metagenomes at ~1.5-hour intervals over a 48-hour window (4.1–17.7 M paired reads each; SRR11803495–SRR11803505) and 4 paired 16S amplicon samples. Shotgun samples support full ARG/MGE/diversity quantification while amplicon samples contribute diversity only. PRJNA1071831 (Iskar River, Bulgaria, Nov–Dec 2022) provides 4 biweekly shotgun metagenomes each from </w:t>
      </w:r>
      <w:proofErr w:type="spellStart"/>
      <w:r w:rsidRPr="005403BF">
        <w:rPr>
          <w:rFonts w:ascii="Times New Roman" w:eastAsia="Gungsuh" w:hAnsi="Times New Roman" w:cs="Times New Roman"/>
        </w:rPr>
        <w:t>Dragushinovo</w:t>
      </w:r>
      <w:proofErr w:type="spellEnd"/>
      <w:r w:rsidRPr="005403BF">
        <w:rPr>
          <w:rFonts w:ascii="Times New Roman" w:eastAsia="Gungsuh" w:hAnsi="Times New Roman" w:cs="Times New Roman"/>
        </w:rPr>
        <w:t xml:space="preserve"> and </w:t>
      </w:r>
      <w:proofErr w:type="spellStart"/>
      <w:r w:rsidRPr="005403BF">
        <w:rPr>
          <w:rFonts w:ascii="Times New Roman" w:eastAsia="Gungsuh" w:hAnsi="Times New Roman" w:cs="Times New Roman"/>
        </w:rPr>
        <w:t>Mechkata</w:t>
      </w:r>
      <w:proofErr w:type="spellEnd"/>
      <w:r w:rsidRPr="005403BF">
        <w:rPr>
          <w:rFonts w:ascii="Times New Roman" w:eastAsia="Gungsuh" w:hAnsi="Times New Roman" w:cs="Times New Roman"/>
        </w:rPr>
        <w:t xml:space="preserve"> sites (inter-sample gaps: 14, 21, and 13 days), with each site treated as an independent study. In total, 19 strict lag pairs are identified across four sampling contexts (WGA: 10; Drag: 3; Mech: 3; 16S: 3), exceeding the minimum threshold of 10 pairs from ≥3 independent studies.</w:t>
      </w:r>
    </w:p>
    <w:p w14:paraId="60097975" w14:textId="77777777" w:rsidR="00273C33" w:rsidRPr="005403BF" w:rsidRDefault="00273C33" w:rsidP="005403BF">
      <w:pPr>
        <w:spacing w:line="240" w:lineRule="auto"/>
        <w:rPr>
          <w:rFonts w:ascii="Times New Roman" w:eastAsia="Times New Roman" w:hAnsi="Times New Roman" w:cs="Times New Roman"/>
        </w:rPr>
      </w:pPr>
    </w:p>
    <w:p w14:paraId="6685740A" w14:textId="77777777" w:rsidR="00273C33" w:rsidRPr="005403BF" w:rsidRDefault="00D441EA" w:rsidP="005403BF">
      <w:pPr>
        <w:spacing w:line="240" w:lineRule="auto"/>
        <w:rPr>
          <w:b/>
          <w:bCs/>
        </w:rPr>
      </w:pPr>
      <w:r w:rsidRPr="005403BF">
        <w:rPr>
          <w:b/>
          <w:bCs/>
        </w:rPr>
        <w:t>2.2. Quantification Pipeline</w:t>
      </w:r>
    </w:p>
    <w:p w14:paraId="28C18B1C" w14:textId="77777777" w:rsidR="00273C33" w:rsidRPr="005403BF" w:rsidRDefault="00D441EA" w:rsidP="00F166BB">
      <w:pPr>
        <w:spacing w:line="240" w:lineRule="auto"/>
        <w:ind w:firstLine="360"/>
        <w:rPr>
          <w:rFonts w:ascii="Times New Roman" w:eastAsia="Times New Roman" w:hAnsi="Times New Roman" w:cs="Times New Roman"/>
        </w:rPr>
      </w:pPr>
      <w:r w:rsidRPr="005403BF">
        <w:rPr>
          <w:rFonts w:ascii="Times New Roman" w:eastAsia="Times New Roman" w:hAnsi="Times New Roman" w:cs="Times New Roman"/>
        </w:rPr>
        <w:t>For shotgun samples (WGA and Iskar River), we quantify:</w:t>
      </w:r>
    </w:p>
    <w:p w14:paraId="24028518" w14:textId="77777777" w:rsidR="00273C33" w:rsidRPr="005403BF" w:rsidRDefault="00D441EA" w:rsidP="005403BF">
      <w:pPr>
        <w:numPr>
          <w:ilvl w:val="0"/>
          <w:numId w:val="2"/>
        </w:numPr>
        <w:spacing w:line="240" w:lineRule="auto"/>
        <w:rPr>
          <w:rFonts w:ascii="Times New Roman" w:hAnsi="Times New Roman" w:cs="Times New Roman"/>
          <w:color w:val="000000"/>
        </w:rPr>
      </w:pPr>
      <w:proofErr w:type="spellStart"/>
      <w:r w:rsidRPr="005403BF">
        <w:rPr>
          <w:rFonts w:ascii="Times New Roman" w:eastAsia="Gungsuh" w:hAnsi="Times New Roman" w:cs="Times New Roman"/>
        </w:rPr>
        <w:t>arg_total</w:t>
      </w:r>
      <w:proofErr w:type="spellEnd"/>
      <w:r w:rsidRPr="005403BF">
        <w:rPr>
          <w:rFonts w:ascii="Times New Roman" w:eastAsia="Gungsuh" w:hAnsi="Times New Roman" w:cs="Times New Roman"/>
        </w:rPr>
        <w:t xml:space="preserve">: total ARG hit count per sample using DIAMOND </w:t>
      </w:r>
      <w:proofErr w:type="spellStart"/>
      <w:r w:rsidRPr="005403BF">
        <w:rPr>
          <w:rFonts w:ascii="Times New Roman" w:eastAsia="Gungsuh" w:hAnsi="Times New Roman" w:cs="Times New Roman"/>
        </w:rPr>
        <w:t>blastx</w:t>
      </w:r>
      <w:proofErr w:type="spellEnd"/>
      <w:r w:rsidRPr="005403BF">
        <w:rPr>
          <w:rFonts w:ascii="Times New Roman" w:eastAsia="Gungsuh" w:hAnsi="Times New Roman" w:cs="Times New Roman"/>
        </w:rPr>
        <w:t xml:space="preserve"> [5] against the </w:t>
      </w:r>
      <w:proofErr w:type="spellStart"/>
      <w:r w:rsidRPr="005403BF">
        <w:rPr>
          <w:rFonts w:ascii="Times New Roman" w:eastAsia="Gungsuh" w:hAnsi="Times New Roman" w:cs="Times New Roman"/>
        </w:rPr>
        <w:t>AMRProt</w:t>
      </w:r>
      <w:proofErr w:type="spellEnd"/>
      <w:r w:rsidRPr="005403BF">
        <w:rPr>
          <w:rFonts w:ascii="Times New Roman" w:eastAsia="Gungsuh" w:hAnsi="Times New Roman" w:cs="Times New Roman"/>
        </w:rPr>
        <w:t xml:space="preserve"> database (NCBI </w:t>
      </w:r>
      <w:proofErr w:type="spellStart"/>
      <w:r w:rsidRPr="005403BF">
        <w:rPr>
          <w:rFonts w:ascii="Times New Roman" w:eastAsia="Gungsuh" w:hAnsi="Times New Roman" w:cs="Times New Roman"/>
        </w:rPr>
        <w:t>AMRFinderPlus</w:t>
      </w:r>
      <w:proofErr w:type="spellEnd"/>
      <w:r w:rsidRPr="005403BF">
        <w:rPr>
          <w:rFonts w:ascii="Times New Roman" w:eastAsia="Gungsuh" w:hAnsi="Times New Roman" w:cs="Times New Roman"/>
        </w:rPr>
        <w:t xml:space="preserve"> reference, ≥80% identity, ≥80% query coverage, e-value ≤1×10⁻⁵) applied directly to paired-end reads.</w:t>
      </w:r>
    </w:p>
    <w:p w14:paraId="0FB8ADFB" w14:textId="77777777" w:rsidR="00273C33" w:rsidRPr="005403BF" w:rsidRDefault="00D441EA" w:rsidP="005403BF">
      <w:pPr>
        <w:numPr>
          <w:ilvl w:val="0"/>
          <w:numId w:val="2"/>
        </w:numPr>
        <w:spacing w:line="240" w:lineRule="auto"/>
        <w:rPr>
          <w:rFonts w:ascii="Times New Roman" w:hAnsi="Times New Roman" w:cs="Times New Roman"/>
          <w:color w:val="000000"/>
        </w:rPr>
      </w:pPr>
      <w:proofErr w:type="spellStart"/>
      <w:r w:rsidRPr="005403BF">
        <w:rPr>
          <w:rFonts w:ascii="Times New Roman" w:eastAsia="Gungsuh" w:hAnsi="Times New Roman" w:cs="Times New Roman"/>
        </w:rPr>
        <w:t>mge_abundance</w:t>
      </w:r>
      <w:proofErr w:type="spellEnd"/>
      <w:r w:rsidRPr="005403BF">
        <w:rPr>
          <w:rFonts w:ascii="Times New Roman" w:eastAsia="Gungsuh" w:hAnsi="Times New Roman" w:cs="Times New Roman"/>
        </w:rPr>
        <w:t xml:space="preserve">: count of complete and CALIN </w:t>
      </w:r>
      <w:proofErr w:type="spellStart"/>
      <w:r w:rsidRPr="005403BF">
        <w:rPr>
          <w:rFonts w:ascii="Times New Roman" w:eastAsia="Gungsuh" w:hAnsi="Times New Roman" w:cs="Times New Roman"/>
        </w:rPr>
        <w:t>integrons</w:t>
      </w:r>
      <w:proofErr w:type="spellEnd"/>
      <w:r w:rsidRPr="005403BF">
        <w:rPr>
          <w:rFonts w:ascii="Times New Roman" w:eastAsia="Gungsuh" w:hAnsi="Times New Roman" w:cs="Times New Roman"/>
        </w:rPr>
        <w:t xml:space="preserve"> detected by </w:t>
      </w:r>
      <w:proofErr w:type="spellStart"/>
      <w:r w:rsidRPr="005403BF">
        <w:rPr>
          <w:rFonts w:ascii="Times New Roman" w:eastAsia="Gungsuh" w:hAnsi="Times New Roman" w:cs="Times New Roman"/>
        </w:rPr>
        <w:t>IntegronFinder</w:t>
      </w:r>
      <w:proofErr w:type="spellEnd"/>
      <w:r w:rsidRPr="005403BF">
        <w:rPr>
          <w:rFonts w:ascii="Times New Roman" w:eastAsia="Gungsuh" w:hAnsi="Times New Roman" w:cs="Times New Roman"/>
        </w:rPr>
        <w:t xml:space="preserve"> 2.0 [6] on assembled metagenomic contigs ≥4 kb. Class 1 </w:t>
      </w:r>
      <w:proofErr w:type="spellStart"/>
      <w:r w:rsidRPr="005403BF">
        <w:rPr>
          <w:rFonts w:ascii="Times New Roman" w:eastAsia="Gungsuh" w:hAnsi="Times New Roman" w:cs="Times New Roman"/>
        </w:rPr>
        <w:t>integrons</w:t>
      </w:r>
      <w:proofErr w:type="spellEnd"/>
      <w:r w:rsidRPr="005403BF">
        <w:rPr>
          <w:rFonts w:ascii="Times New Roman" w:eastAsia="Gungsuh" w:hAnsi="Times New Roman" w:cs="Times New Roman"/>
        </w:rPr>
        <w:t xml:space="preserve"> are the dominant ARG-mobilizing MGE in environmental water metagenomics [7].</w:t>
      </w:r>
    </w:p>
    <w:p w14:paraId="3AF73BDE" w14:textId="77777777" w:rsidR="00273C33" w:rsidRPr="005403BF" w:rsidRDefault="00D441EA" w:rsidP="005403BF">
      <w:pPr>
        <w:numPr>
          <w:ilvl w:val="0"/>
          <w:numId w:val="2"/>
        </w:numPr>
        <w:spacing w:line="240" w:lineRule="auto"/>
        <w:rPr>
          <w:rFonts w:ascii="Times New Roman" w:hAnsi="Times New Roman" w:cs="Times New Roman"/>
          <w:color w:val="000000"/>
        </w:rPr>
      </w:pPr>
      <w:r w:rsidRPr="005403BF">
        <w:rPr>
          <w:rFonts w:ascii="Times New Roman" w:eastAsia="Times New Roman" w:hAnsi="Times New Roman" w:cs="Times New Roman"/>
        </w:rPr>
        <w:t>entropy: Shannon diversity index (H') computed from species-level abundance fractions produced by Bracken [8] re-estimation of Kraken2 [9] classifications against the 8 GB standard database.</w:t>
      </w:r>
    </w:p>
    <w:p w14:paraId="39C08AA4" w14:textId="77777777" w:rsidR="00273C33" w:rsidRPr="005403BF" w:rsidRDefault="00D441EA" w:rsidP="00F166BB">
      <w:pPr>
        <w:spacing w:line="240" w:lineRule="auto"/>
        <w:ind w:firstLine="360"/>
        <w:rPr>
          <w:rFonts w:ascii="Times New Roman" w:eastAsia="Times New Roman" w:hAnsi="Times New Roman" w:cs="Times New Roman"/>
        </w:rPr>
      </w:pPr>
      <w:r w:rsidRPr="005403BF">
        <w:rPr>
          <w:rFonts w:ascii="Times New Roman" w:eastAsia="Gungsuh" w:hAnsi="Times New Roman" w:cs="Times New Roman"/>
        </w:rPr>
        <w:t xml:space="preserve">Raw FASTQ files are downloaded from SRA using </w:t>
      </w:r>
      <w:proofErr w:type="spellStart"/>
      <w:r w:rsidRPr="005403BF">
        <w:rPr>
          <w:rFonts w:ascii="Times New Roman" w:eastAsia="Gungsuh" w:hAnsi="Times New Roman" w:cs="Times New Roman"/>
        </w:rPr>
        <w:t>sra</w:t>
      </w:r>
      <w:proofErr w:type="spellEnd"/>
      <w:r w:rsidRPr="005403BF">
        <w:rPr>
          <w:rFonts w:ascii="Times New Roman" w:eastAsia="Gungsuh" w:hAnsi="Times New Roman" w:cs="Times New Roman"/>
        </w:rPr>
        <w:t xml:space="preserve">-tools (prefetch + </w:t>
      </w:r>
      <w:proofErr w:type="spellStart"/>
      <w:r w:rsidRPr="005403BF">
        <w:rPr>
          <w:rFonts w:ascii="Times New Roman" w:eastAsia="Gungsuh" w:hAnsi="Times New Roman" w:cs="Times New Roman"/>
        </w:rPr>
        <w:t>fasterq</w:t>
      </w:r>
      <w:proofErr w:type="spellEnd"/>
      <w:r w:rsidRPr="005403BF">
        <w:rPr>
          <w:rFonts w:ascii="Times New Roman" w:eastAsia="Gungsuh" w:hAnsi="Times New Roman" w:cs="Times New Roman"/>
        </w:rPr>
        <w:t xml:space="preserve">-dump). Assembly uses MEGAHIT [10] with minimum contig length 500 bp; </w:t>
      </w:r>
      <w:proofErr w:type="spellStart"/>
      <w:r w:rsidRPr="005403BF">
        <w:rPr>
          <w:rFonts w:ascii="Times New Roman" w:eastAsia="Gungsuh" w:hAnsi="Times New Roman" w:cs="Times New Roman"/>
        </w:rPr>
        <w:t>IntegronFinder</w:t>
      </w:r>
      <w:proofErr w:type="spellEnd"/>
      <w:r w:rsidRPr="005403BF">
        <w:rPr>
          <w:rFonts w:ascii="Times New Roman" w:eastAsia="Gungsuh" w:hAnsi="Times New Roman" w:cs="Times New Roman"/>
        </w:rPr>
        <w:t xml:space="preserve"> is applied to contigs ≥4 kb to minimize run time on high-contig libraries. Sequencing depths for the Bulgaria samples were retrieved from the NCBI SRA </w:t>
      </w:r>
      <w:proofErr w:type="spellStart"/>
      <w:r w:rsidRPr="005403BF">
        <w:rPr>
          <w:rFonts w:ascii="Times New Roman" w:eastAsia="Gungsuh" w:hAnsi="Times New Roman" w:cs="Times New Roman"/>
        </w:rPr>
        <w:t>EUtils</w:t>
      </w:r>
      <w:proofErr w:type="spellEnd"/>
      <w:r w:rsidRPr="005403BF">
        <w:rPr>
          <w:rFonts w:ascii="Times New Roman" w:eastAsia="Gungsuh" w:hAnsi="Times New Roman" w:cs="Times New Roman"/>
        </w:rPr>
        <w:t xml:space="preserve"> API. </w:t>
      </w:r>
    </w:p>
    <w:p w14:paraId="2A938AFF" w14:textId="77777777" w:rsidR="00273C33" w:rsidRPr="005403BF" w:rsidRDefault="00273C33" w:rsidP="005403BF">
      <w:pPr>
        <w:spacing w:line="240" w:lineRule="auto"/>
        <w:rPr>
          <w:rFonts w:ascii="Times New Roman" w:hAnsi="Times New Roman" w:cs="Times New Roman"/>
          <w:b/>
          <w:bCs/>
          <w:sz w:val="24"/>
          <w:szCs w:val="24"/>
        </w:rPr>
      </w:pPr>
    </w:p>
    <w:p w14:paraId="7948352C" w14:textId="77777777" w:rsidR="00273C33" w:rsidRPr="005403BF" w:rsidRDefault="00D441EA" w:rsidP="005403BF">
      <w:pPr>
        <w:spacing w:line="240" w:lineRule="auto"/>
        <w:rPr>
          <w:b/>
          <w:bCs/>
        </w:rPr>
      </w:pPr>
      <w:r w:rsidRPr="005403BF">
        <w:rPr>
          <w:b/>
          <w:bCs/>
        </w:rPr>
        <w:t>2.3. Feature Table and Preprocessing</w:t>
      </w:r>
    </w:p>
    <w:p w14:paraId="622CBF56" w14:textId="77777777" w:rsidR="00273C33" w:rsidRPr="005403BF" w:rsidRDefault="00D441EA" w:rsidP="00F166BB">
      <w:pPr>
        <w:spacing w:line="240" w:lineRule="auto"/>
        <w:ind w:firstLine="720"/>
        <w:rPr>
          <w:rFonts w:ascii="Times New Roman" w:eastAsia="Times New Roman" w:hAnsi="Times New Roman" w:cs="Times New Roman"/>
        </w:rPr>
      </w:pPr>
      <w:r w:rsidRPr="005403BF">
        <w:rPr>
          <w:rFonts w:ascii="Times New Roman" w:eastAsia="Gungsuh" w:hAnsi="Times New Roman" w:cs="Times New Roman"/>
        </w:rPr>
        <w:t>Observations are ordered within study by sampling time. Lagged predictors (ARG(t+1), MGE(t+1)) and first-difference variables (</w:t>
      </w:r>
      <w:proofErr w:type="spellStart"/>
      <w:r w:rsidRPr="005403BF">
        <w:rPr>
          <w:rFonts w:ascii="Times New Roman" w:eastAsia="Gungsuh" w:hAnsi="Times New Roman" w:cs="Times New Roman"/>
        </w:rPr>
        <w:t>dMGE</w:t>
      </w:r>
      <w:proofErr w:type="spellEnd"/>
      <w:r w:rsidRPr="005403BF">
        <w:rPr>
          <w:rFonts w:ascii="Times New Roman" w:eastAsia="Gungsuh" w:hAnsi="Times New Roman" w:cs="Times New Roman"/>
        </w:rPr>
        <w:t xml:space="preserve">(t) = MGE(t)−MGE(t−1); </w:t>
      </w:r>
      <w:proofErr w:type="spellStart"/>
      <w:r w:rsidRPr="005403BF">
        <w:rPr>
          <w:rFonts w:ascii="Times New Roman" w:eastAsia="Gungsuh" w:hAnsi="Times New Roman" w:cs="Times New Roman"/>
        </w:rPr>
        <w:t>dARG</w:t>
      </w:r>
      <w:proofErr w:type="spellEnd"/>
      <w:r w:rsidRPr="005403BF">
        <w:rPr>
          <w:rFonts w:ascii="Times New Roman" w:eastAsia="Gungsuh" w:hAnsi="Times New Roman" w:cs="Times New Roman"/>
        </w:rPr>
        <w:t>(t+1) = ARG(t+</w:t>
      </w:r>
      <w:proofErr w:type="gramStart"/>
      <w:r w:rsidRPr="005403BF">
        <w:rPr>
          <w:rFonts w:ascii="Times New Roman" w:eastAsia="Gungsuh" w:hAnsi="Times New Roman" w:cs="Times New Roman"/>
        </w:rPr>
        <w:t>1)−</w:t>
      </w:r>
      <w:proofErr w:type="gramEnd"/>
      <w:r w:rsidRPr="005403BF">
        <w:rPr>
          <w:rFonts w:ascii="Times New Roman" w:eastAsia="Gungsuh" w:hAnsi="Times New Roman" w:cs="Times New Roman"/>
        </w:rPr>
        <w:t>ARG(t)) are computed within each study to remove shared trends [11]. A key structural variance is the sampling interval: WGA samples are at ~1.5-hour intervals while Bulgaria samples are biweekly (13–21 days apart), so all lag regressions reflect "one sampling interval ahead" rather than a fixed time horizon.</w:t>
      </w:r>
    </w:p>
    <w:p w14:paraId="69B524E0" w14:textId="77777777" w:rsidR="00273C33" w:rsidRPr="005403BF" w:rsidRDefault="00273C33" w:rsidP="005403BF">
      <w:pPr>
        <w:spacing w:line="240" w:lineRule="auto"/>
        <w:rPr>
          <w:rFonts w:ascii="Times New Roman" w:eastAsia="Times New Roman" w:hAnsi="Times New Roman" w:cs="Times New Roman"/>
        </w:rPr>
      </w:pPr>
    </w:p>
    <w:p w14:paraId="65548F06" w14:textId="77777777" w:rsidR="00273C33" w:rsidRPr="005403BF" w:rsidRDefault="00D441EA" w:rsidP="005403BF">
      <w:pPr>
        <w:spacing w:line="240" w:lineRule="auto"/>
        <w:rPr>
          <w:b/>
          <w:bCs/>
        </w:rPr>
      </w:pPr>
      <w:r w:rsidRPr="005403BF">
        <w:rPr>
          <w:b/>
          <w:bCs/>
        </w:rPr>
        <w:t>2.4. Models</w:t>
      </w:r>
    </w:p>
    <w:p w14:paraId="77FFB75D" w14:textId="77777777" w:rsidR="00273C33" w:rsidRPr="005403BF" w:rsidRDefault="00D441EA" w:rsidP="00F166BB">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 xml:space="preserve">We evaluate: (1) forward lag model ARG(t+1) ~ MGE(t) + C(study) + </w:t>
      </w:r>
      <w:proofErr w:type="spellStart"/>
      <w:r w:rsidRPr="005403BF">
        <w:rPr>
          <w:rFonts w:ascii="Times New Roman" w:eastAsia="Times New Roman" w:hAnsi="Times New Roman" w:cs="Times New Roman"/>
        </w:rPr>
        <w:t>sequencing_depth</w:t>
      </w:r>
      <w:proofErr w:type="spellEnd"/>
      <w:r w:rsidRPr="005403BF">
        <w:rPr>
          <w:rFonts w:ascii="Times New Roman" w:eastAsia="Times New Roman" w:hAnsi="Times New Roman" w:cs="Times New Roman"/>
        </w:rPr>
        <w:t xml:space="preserve">; (2) reverse-direction model MGE(t+1) ~ ARG(t) + C(study); (3) first-difference model </w:t>
      </w:r>
      <w:proofErr w:type="spellStart"/>
      <w:r w:rsidRPr="005403BF">
        <w:rPr>
          <w:rFonts w:ascii="Times New Roman" w:eastAsia="Times New Roman" w:hAnsi="Times New Roman" w:cs="Times New Roman"/>
        </w:rPr>
        <w:t>dARG</w:t>
      </w:r>
      <w:proofErr w:type="spellEnd"/>
      <w:r w:rsidRPr="005403BF">
        <w:rPr>
          <w:rFonts w:ascii="Times New Roman" w:eastAsia="Times New Roman" w:hAnsi="Times New Roman" w:cs="Times New Roman"/>
        </w:rPr>
        <w:t xml:space="preserve">(t+1) ~ </w:t>
      </w:r>
      <w:proofErr w:type="spellStart"/>
      <w:r w:rsidRPr="005403BF">
        <w:rPr>
          <w:rFonts w:ascii="Times New Roman" w:eastAsia="Times New Roman" w:hAnsi="Times New Roman" w:cs="Times New Roman"/>
        </w:rPr>
        <w:t>dMGE</w:t>
      </w:r>
      <w:proofErr w:type="spellEnd"/>
      <w:r w:rsidRPr="005403BF">
        <w:rPr>
          <w:rFonts w:ascii="Times New Roman" w:eastAsia="Times New Roman" w:hAnsi="Times New Roman" w:cs="Times New Roman"/>
        </w:rPr>
        <w:t xml:space="preserve">(t); (4) Granger-style added-value test comparing base model ARG(t+1) ~ ARG(t) + C(study) vs. full model adding MGE(t); (5) within-study models ARG(t+1) ~ MGE(t) fit independently per study; (6) leave-one-study-out (LOSO) refits; (7) residual diagnostics (Durbin-Watson, Breusch-Pagan, power analysis); and (8) a null simulation (N=2,000 synthetic datasets, same study structure, no true MGE effect). Models use </w:t>
      </w:r>
      <w:proofErr w:type="spellStart"/>
      <w:r w:rsidRPr="005403BF">
        <w:rPr>
          <w:rFonts w:ascii="Times New Roman" w:eastAsia="Times New Roman" w:hAnsi="Times New Roman" w:cs="Times New Roman"/>
        </w:rPr>
        <w:t>statsmodels</w:t>
      </w:r>
      <w:proofErr w:type="spellEnd"/>
      <w:r w:rsidRPr="005403BF">
        <w:rPr>
          <w:rFonts w:ascii="Times New Roman" w:eastAsia="Times New Roman" w:hAnsi="Times New Roman" w:cs="Times New Roman"/>
        </w:rPr>
        <w:t xml:space="preserve"> [12] and pandas [13].</w:t>
      </w:r>
    </w:p>
    <w:p w14:paraId="282A50FD" w14:textId="77777777" w:rsidR="00273C33" w:rsidRPr="005403BF" w:rsidRDefault="00273C33" w:rsidP="005403BF">
      <w:pPr>
        <w:spacing w:line="240" w:lineRule="auto"/>
        <w:rPr>
          <w:rFonts w:ascii="Times New Roman" w:eastAsia="Times New Roman" w:hAnsi="Times New Roman" w:cs="Times New Roman"/>
        </w:rPr>
      </w:pPr>
    </w:p>
    <w:p w14:paraId="7A71CA74" w14:textId="77777777" w:rsidR="00273C33" w:rsidRPr="005403BF" w:rsidRDefault="00D441EA" w:rsidP="005403BF">
      <w:pPr>
        <w:pBdr>
          <w:bottom w:val="none" w:sz="0" w:space="5" w:color="auto"/>
        </w:pBdr>
        <w:spacing w:line="240" w:lineRule="auto"/>
        <w:rPr>
          <w:b/>
          <w:bCs/>
          <w:sz w:val="24"/>
          <w:szCs w:val="24"/>
        </w:rPr>
      </w:pPr>
      <w:r w:rsidRPr="005403BF">
        <w:rPr>
          <w:b/>
          <w:bCs/>
          <w:sz w:val="24"/>
          <w:szCs w:val="24"/>
        </w:rPr>
        <w:t>3. Results</w:t>
      </w:r>
    </w:p>
    <w:p w14:paraId="7A70CE74" w14:textId="77777777" w:rsidR="00273C33" w:rsidRPr="005403BF" w:rsidRDefault="00D441EA" w:rsidP="00F166BB">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All results are derived from fully pipeline-quantified values. Of 23 strict-cohort samples, 19 were fully quantified using the complete bioinformatics pipeline (excluding 4 amplicon-only samples), and 14 lag pairs were regression-complete after filtering for sequencing-depth covariate availability.</w:t>
      </w:r>
    </w:p>
    <w:p w14:paraId="54AD4455" w14:textId="77777777"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Pipeline validation. For SRR27827413 (</w:t>
      </w:r>
      <w:proofErr w:type="spellStart"/>
      <w:r w:rsidRPr="005403BF">
        <w:rPr>
          <w:rFonts w:ascii="Times New Roman" w:eastAsia="Times New Roman" w:hAnsi="Times New Roman" w:cs="Times New Roman"/>
        </w:rPr>
        <w:t>Dragushinovo</w:t>
      </w:r>
      <w:proofErr w:type="spellEnd"/>
      <w:r w:rsidRPr="005403BF">
        <w:rPr>
          <w:rFonts w:ascii="Times New Roman" w:eastAsia="Times New Roman" w:hAnsi="Times New Roman" w:cs="Times New Roman"/>
        </w:rPr>
        <w:t xml:space="preserve">, 22.2M reads): H' = 6.301, </w:t>
      </w:r>
      <w:proofErr w:type="spellStart"/>
      <w:r w:rsidRPr="005403BF">
        <w:rPr>
          <w:rFonts w:ascii="Times New Roman" w:eastAsia="Times New Roman" w:hAnsi="Times New Roman" w:cs="Times New Roman"/>
        </w:rPr>
        <w:t>arg_total</w:t>
      </w:r>
      <w:proofErr w:type="spellEnd"/>
      <w:r w:rsidRPr="005403BF">
        <w:rPr>
          <w:rFonts w:ascii="Times New Roman" w:eastAsia="Times New Roman" w:hAnsi="Times New Roman" w:cs="Times New Roman"/>
        </w:rPr>
        <w:t xml:space="preserve"> = 56,046, </w:t>
      </w:r>
      <w:proofErr w:type="spellStart"/>
      <w:r w:rsidRPr="005403BF">
        <w:rPr>
          <w:rFonts w:ascii="Times New Roman" w:eastAsia="Times New Roman" w:hAnsi="Times New Roman" w:cs="Times New Roman"/>
        </w:rPr>
        <w:t>mge_abundance</w:t>
      </w:r>
      <w:proofErr w:type="spellEnd"/>
      <w:r w:rsidRPr="005403BF">
        <w:rPr>
          <w:rFonts w:ascii="Times New Roman" w:eastAsia="Times New Roman" w:hAnsi="Times New Roman" w:cs="Times New Roman"/>
        </w:rPr>
        <w:t xml:space="preserve"> = 445 </w:t>
      </w:r>
      <w:proofErr w:type="spellStart"/>
      <w:r w:rsidRPr="005403BF">
        <w:rPr>
          <w:rFonts w:ascii="Times New Roman" w:eastAsia="Times New Roman" w:hAnsi="Times New Roman" w:cs="Times New Roman"/>
        </w:rPr>
        <w:t>integrons</w:t>
      </w:r>
      <w:proofErr w:type="spellEnd"/>
      <w:r w:rsidRPr="005403BF">
        <w:rPr>
          <w:rFonts w:ascii="Times New Roman" w:eastAsia="Times New Roman" w:hAnsi="Times New Roman" w:cs="Times New Roman"/>
        </w:rPr>
        <w:t>, which is consistent with comparable wastewater-impacted river environments.</w:t>
      </w:r>
    </w:p>
    <w:p w14:paraId="16234507" w14:textId="77777777" w:rsidR="00273C33" w:rsidRPr="005403BF" w:rsidRDefault="00273C33" w:rsidP="005403BF">
      <w:pPr>
        <w:spacing w:line="240" w:lineRule="auto"/>
        <w:rPr>
          <w:rFonts w:ascii="Times New Roman" w:eastAsia="Times New Roman" w:hAnsi="Times New Roman" w:cs="Times New Roman"/>
        </w:rPr>
      </w:pPr>
    </w:p>
    <w:p w14:paraId="621BD058" w14:textId="77777777" w:rsidR="00273C33" w:rsidRPr="005403BF" w:rsidRDefault="00D441EA" w:rsidP="005403BF">
      <w:pPr>
        <w:spacing w:line="240" w:lineRule="auto"/>
        <w:rPr>
          <w:b/>
          <w:bCs/>
        </w:rPr>
      </w:pPr>
      <w:r w:rsidRPr="005403BF">
        <w:rPr>
          <w:b/>
          <w:bCs/>
        </w:rPr>
        <w:lastRenderedPageBreak/>
        <w:t>3.1. Forward Lag Model</w:t>
      </w:r>
    </w:p>
    <w:p w14:paraId="60149FA7" w14:textId="77777777" w:rsidR="00273C33" w:rsidRPr="005403BF" w:rsidRDefault="00D441EA" w:rsidP="00F166BB">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The forward lag model yields coefficient = 21.57, p-value = 0.579, R² = 0.720 (n=14). R² is driven by between-study ARG scale differences, not MGE predictive content.</w:t>
      </w:r>
    </w:p>
    <w:p w14:paraId="123DA1C9" w14:textId="77777777" w:rsidR="00273C33" w:rsidRPr="005403BF" w:rsidRDefault="00273C33" w:rsidP="005403BF">
      <w:pPr>
        <w:spacing w:line="240" w:lineRule="auto"/>
        <w:rPr>
          <w:rFonts w:ascii="Times New Roman" w:eastAsia="Times New Roman" w:hAnsi="Times New Roman" w:cs="Times New Roman"/>
        </w:rPr>
      </w:pPr>
    </w:p>
    <w:p w14:paraId="617466DF" w14:textId="77777777" w:rsidR="00273C33" w:rsidRPr="005403BF" w:rsidRDefault="00D441EA" w:rsidP="005403BF">
      <w:pPr>
        <w:spacing w:line="240" w:lineRule="auto"/>
        <w:jc w:val="center"/>
        <w:rPr>
          <w:rFonts w:ascii="Times New Roman" w:hAnsi="Times New Roman" w:cs="Times New Roman"/>
          <w:b/>
          <w:bCs/>
          <w:sz w:val="21"/>
          <w:szCs w:val="21"/>
        </w:rPr>
      </w:pPr>
      <w:r w:rsidRPr="005403BF">
        <w:rPr>
          <w:rFonts w:ascii="Times New Roman" w:hAnsi="Times New Roman" w:cs="Times New Roman"/>
          <w:b/>
          <w:bCs/>
          <w:noProof/>
          <w:sz w:val="21"/>
          <w:szCs w:val="21"/>
        </w:rPr>
        <w:drawing>
          <wp:inline distT="114300" distB="114300" distL="114300" distR="114300" wp14:anchorId="1BD604B4" wp14:editId="62291490">
            <wp:extent cx="4305300" cy="25717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05650" cy="2571959"/>
                    </a:xfrm>
                    <a:prstGeom prst="rect">
                      <a:avLst/>
                    </a:prstGeom>
                    <a:ln/>
                  </pic:spPr>
                </pic:pic>
              </a:graphicData>
            </a:graphic>
          </wp:inline>
        </w:drawing>
      </w:r>
    </w:p>
    <w:p w14:paraId="499B6475" w14:textId="77777777"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Fig. 1: MGE(t) vs. ARG(t+1) colored by study. The pooled OLS fit (black dashed) produces apparent R²=0.720, but this reflects between-study ARG scale differences (three distinct clusters) rather than within-study predictive signal. Dotted lines show within-study fits, which are flat or negative.</w:t>
      </w:r>
    </w:p>
    <w:p w14:paraId="6969C879" w14:textId="77777777" w:rsidR="00273C33" w:rsidRPr="005403BF" w:rsidRDefault="00273C33" w:rsidP="005403BF">
      <w:pPr>
        <w:spacing w:line="240" w:lineRule="auto"/>
        <w:rPr>
          <w:rFonts w:ascii="Times New Roman" w:eastAsia="Times New Roman" w:hAnsi="Times New Roman" w:cs="Times New Roman"/>
        </w:rPr>
      </w:pPr>
    </w:p>
    <w:p w14:paraId="1A3CC059"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noProof/>
        </w:rPr>
        <w:drawing>
          <wp:inline distT="114300" distB="114300" distL="114300" distR="114300" wp14:anchorId="359DE4FE" wp14:editId="0566AE88">
            <wp:extent cx="3257550" cy="346298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257550" cy="3462981"/>
                    </a:xfrm>
                    <a:prstGeom prst="rect">
                      <a:avLst/>
                    </a:prstGeom>
                    <a:ln/>
                  </pic:spPr>
                </pic:pic>
              </a:graphicData>
            </a:graphic>
          </wp:inline>
        </w:drawing>
      </w:r>
    </w:p>
    <w:p w14:paraId="27ABC983" w14:textId="77777777"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Fig. 2: Study-specific ARG (solid) and MGE (dashed) time series on dual y-axes. ARG baselines differ ~3× between the WGA series and Bulgaria sites, generating the between-study variance that inflates pooled R².</w:t>
      </w:r>
    </w:p>
    <w:p w14:paraId="250191F3" w14:textId="77777777" w:rsidR="005403BF" w:rsidRDefault="005403BF" w:rsidP="005403BF">
      <w:pPr>
        <w:spacing w:line="240" w:lineRule="auto"/>
        <w:rPr>
          <w:rFonts w:ascii="Times New Roman" w:hAnsi="Times New Roman" w:cs="Times New Roman"/>
          <w:b/>
          <w:bCs/>
          <w:sz w:val="21"/>
          <w:szCs w:val="21"/>
        </w:rPr>
      </w:pPr>
    </w:p>
    <w:p w14:paraId="31231FE6" w14:textId="77777777" w:rsidR="005403BF" w:rsidRDefault="005403BF" w:rsidP="005403BF">
      <w:pPr>
        <w:spacing w:line="240" w:lineRule="auto"/>
        <w:rPr>
          <w:rFonts w:ascii="Times New Roman" w:hAnsi="Times New Roman" w:cs="Times New Roman"/>
          <w:b/>
          <w:bCs/>
          <w:sz w:val="21"/>
          <w:szCs w:val="21"/>
        </w:rPr>
      </w:pPr>
    </w:p>
    <w:p w14:paraId="7B066002" w14:textId="77777777" w:rsidR="005403BF" w:rsidRDefault="005403BF" w:rsidP="005403BF">
      <w:pPr>
        <w:spacing w:line="240" w:lineRule="auto"/>
        <w:rPr>
          <w:rFonts w:ascii="Times New Roman" w:hAnsi="Times New Roman" w:cs="Times New Roman"/>
          <w:b/>
          <w:bCs/>
          <w:sz w:val="21"/>
          <w:szCs w:val="21"/>
        </w:rPr>
      </w:pPr>
    </w:p>
    <w:p w14:paraId="560EAE1F" w14:textId="77777777" w:rsidR="005403BF" w:rsidRDefault="005403BF" w:rsidP="005403BF">
      <w:pPr>
        <w:spacing w:line="240" w:lineRule="auto"/>
        <w:rPr>
          <w:rFonts w:ascii="Times New Roman" w:hAnsi="Times New Roman" w:cs="Times New Roman"/>
          <w:b/>
          <w:bCs/>
          <w:sz w:val="21"/>
          <w:szCs w:val="21"/>
        </w:rPr>
      </w:pPr>
    </w:p>
    <w:p w14:paraId="2455BD8A" w14:textId="77777777" w:rsidR="005403BF" w:rsidRDefault="005403BF" w:rsidP="005403BF">
      <w:pPr>
        <w:spacing w:line="240" w:lineRule="auto"/>
        <w:rPr>
          <w:rFonts w:ascii="Times New Roman" w:hAnsi="Times New Roman" w:cs="Times New Roman"/>
          <w:b/>
          <w:bCs/>
          <w:sz w:val="21"/>
          <w:szCs w:val="21"/>
        </w:rPr>
      </w:pPr>
    </w:p>
    <w:p w14:paraId="045E5C64" w14:textId="2B8B9166" w:rsidR="00273C33" w:rsidRPr="005403BF" w:rsidRDefault="00D441EA" w:rsidP="005403BF">
      <w:pPr>
        <w:spacing w:line="240" w:lineRule="auto"/>
        <w:rPr>
          <w:b/>
          <w:bCs/>
        </w:rPr>
      </w:pPr>
      <w:r w:rsidRPr="005403BF">
        <w:rPr>
          <w:b/>
          <w:bCs/>
        </w:rPr>
        <w:t>3.2. Lag Correlation Diagnostics</w:t>
      </w:r>
    </w:p>
    <w:p w14:paraId="330B2BD7" w14:textId="77777777" w:rsidR="00273C33" w:rsidRPr="005403BF" w:rsidRDefault="00273C33" w:rsidP="005403BF">
      <w:pPr>
        <w:spacing w:line="240" w:lineRule="auto"/>
        <w:rPr>
          <w:rFonts w:ascii="Times New Roman" w:hAnsi="Times New Roman" w:cs="Times New Roman"/>
          <w:b/>
          <w:bCs/>
          <w:sz w:val="21"/>
          <w:szCs w:val="21"/>
        </w:rPr>
      </w:pPr>
    </w:p>
    <w:p w14:paraId="43299E41" w14:textId="77777777" w:rsidR="005403BF" w:rsidRDefault="005403BF" w:rsidP="005403BF">
      <w:pPr>
        <w:spacing w:line="240" w:lineRule="auto"/>
        <w:jc w:val="center"/>
        <w:rPr>
          <w:rFonts w:ascii="Times New Roman" w:eastAsia="Times New Roman" w:hAnsi="Times New Roman" w:cs="Times New Roman"/>
          <w:i/>
          <w:iCs/>
          <w:sz w:val="20"/>
          <w:szCs w:val="20"/>
        </w:rPr>
      </w:pPr>
    </w:p>
    <w:p w14:paraId="4E9DA3D5" w14:textId="748C3DBE"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Table 1: Lag correlations across offsets.</w:t>
      </w:r>
    </w:p>
    <w:tbl>
      <w:tblPr>
        <w:tblStyle w:val="a"/>
        <w:tblW w:w="7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700"/>
        <w:gridCol w:w="2715"/>
      </w:tblGrid>
      <w:tr w:rsidR="00273C33" w:rsidRPr="005403BF" w14:paraId="008FE8B3" w14:textId="77777777">
        <w:trPr>
          <w:trHeight w:val="435"/>
        </w:trPr>
        <w:tc>
          <w:tcPr>
            <w:tcW w:w="1860" w:type="dxa"/>
            <w:tcBorders>
              <w:top w:val="nil"/>
              <w:left w:val="nil"/>
              <w:bottom w:val="single" w:sz="3" w:space="0" w:color="000000"/>
              <w:right w:val="nil"/>
            </w:tcBorders>
            <w:tcMar>
              <w:top w:w="80" w:type="dxa"/>
              <w:left w:w="160" w:type="dxa"/>
              <w:bottom w:w="80" w:type="dxa"/>
              <w:right w:w="160" w:type="dxa"/>
            </w:tcMar>
          </w:tcPr>
          <w:p w14:paraId="10A2FC39"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Lag</w:t>
            </w:r>
          </w:p>
        </w:tc>
        <w:tc>
          <w:tcPr>
            <w:tcW w:w="2700" w:type="dxa"/>
            <w:tcBorders>
              <w:top w:val="nil"/>
              <w:left w:val="nil"/>
              <w:bottom w:val="single" w:sz="3" w:space="0" w:color="000000"/>
              <w:right w:val="nil"/>
            </w:tcBorders>
            <w:tcMar>
              <w:top w:w="80" w:type="dxa"/>
              <w:left w:w="160" w:type="dxa"/>
              <w:bottom w:w="80" w:type="dxa"/>
              <w:right w:w="160" w:type="dxa"/>
            </w:tcMar>
          </w:tcPr>
          <w:p w14:paraId="57B2C204"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Correlation</w:t>
            </w:r>
          </w:p>
        </w:tc>
        <w:tc>
          <w:tcPr>
            <w:tcW w:w="2715" w:type="dxa"/>
            <w:tcBorders>
              <w:top w:val="nil"/>
              <w:left w:val="nil"/>
              <w:bottom w:val="single" w:sz="3" w:space="0" w:color="000000"/>
              <w:right w:val="nil"/>
            </w:tcBorders>
            <w:tcMar>
              <w:top w:w="80" w:type="dxa"/>
              <w:left w:w="160" w:type="dxa"/>
              <w:bottom w:w="80" w:type="dxa"/>
              <w:right w:w="160" w:type="dxa"/>
            </w:tcMar>
          </w:tcPr>
          <w:p w14:paraId="7FC9ECD7"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n</w:t>
            </w:r>
          </w:p>
        </w:tc>
      </w:tr>
      <w:tr w:rsidR="00273C33" w:rsidRPr="005403BF" w14:paraId="18DD6227" w14:textId="77777777">
        <w:trPr>
          <w:trHeight w:val="435"/>
        </w:trPr>
        <w:tc>
          <w:tcPr>
            <w:tcW w:w="1860" w:type="dxa"/>
            <w:tcBorders>
              <w:top w:val="nil"/>
              <w:left w:val="nil"/>
              <w:bottom w:val="nil"/>
              <w:right w:val="nil"/>
            </w:tcBorders>
            <w:tcMar>
              <w:top w:w="80" w:type="dxa"/>
              <w:left w:w="160" w:type="dxa"/>
              <w:bottom w:w="80" w:type="dxa"/>
              <w:right w:w="160" w:type="dxa"/>
            </w:tcMar>
          </w:tcPr>
          <w:p w14:paraId="2BDEC06B" w14:textId="77777777" w:rsidR="00273C33" w:rsidRPr="005403BF" w:rsidRDefault="00D441EA" w:rsidP="005403BF">
            <w:pPr>
              <w:spacing w:line="240" w:lineRule="auto"/>
              <w:jc w:val="center"/>
              <w:rPr>
                <w:rFonts w:ascii="Times New Roman" w:eastAsia="Times New Roman" w:hAnsi="Times New Roman" w:cs="Times New Roman"/>
              </w:rPr>
            </w:pPr>
            <w:proofErr w:type="spellStart"/>
            <w:r w:rsidRPr="005403BF">
              <w:rPr>
                <w:rFonts w:ascii="Times New Roman" w:eastAsia="Cardo" w:hAnsi="Times New Roman" w:cs="Times New Roman"/>
              </w:rPr>
              <w:t>t→t</w:t>
            </w:r>
            <w:proofErr w:type="spellEnd"/>
          </w:p>
        </w:tc>
        <w:tc>
          <w:tcPr>
            <w:tcW w:w="2700" w:type="dxa"/>
            <w:tcBorders>
              <w:top w:val="nil"/>
              <w:left w:val="nil"/>
              <w:bottom w:val="nil"/>
              <w:right w:val="nil"/>
            </w:tcBorders>
            <w:tcMar>
              <w:top w:w="80" w:type="dxa"/>
              <w:left w:w="160" w:type="dxa"/>
              <w:bottom w:w="80" w:type="dxa"/>
              <w:right w:w="160" w:type="dxa"/>
            </w:tcMar>
          </w:tcPr>
          <w:p w14:paraId="1B8894DA"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0.400</w:t>
            </w:r>
          </w:p>
        </w:tc>
        <w:tc>
          <w:tcPr>
            <w:tcW w:w="2715" w:type="dxa"/>
            <w:tcBorders>
              <w:top w:val="nil"/>
              <w:left w:val="nil"/>
              <w:bottom w:val="nil"/>
              <w:right w:val="nil"/>
            </w:tcBorders>
            <w:tcMar>
              <w:top w:w="80" w:type="dxa"/>
              <w:left w:w="160" w:type="dxa"/>
              <w:bottom w:w="80" w:type="dxa"/>
              <w:right w:w="160" w:type="dxa"/>
            </w:tcMar>
          </w:tcPr>
          <w:p w14:paraId="61C33537"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19</w:t>
            </w:r>
          </w:p>
        </w:tc>
      </w:tr>
      <w:tr w:rsidR="00273C33" w:rsidRPr="005403BF" w14:paraId="2698F31F" w14:textId="77777777">
        <w:trPr>
          <w:trHeight w:val="435"/>
        </w:trPr>
        <w:tc>
          <w:tcPr>
            <w:tcW w:w="1860" w:type="dxa"/>
            <w:tcBorders>
              <w:top w:val="single" w:sz="3" w:space="0" w:color="000000"/>
              <w:left w:val="nil"/>
              <w:bottom w:val="nil"/>
              <w:right w:val="nil"/>
            </w:tcBorders>
            <w:tcMar>
              <w:top w:w="80" w:type="dxa"/>
              <w:left w:w="160" w:type="dxa"/>
              <w:bottom w:w="80" w:type="dxa"/>
              <w:right w:w="160" w:type="dxa"/>
            </w:tcMar>
          </w:tcPr>
          <w:p w14:paraId="000B21D4"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Cardo" w:hAnsi="Times New Roman" w:cs="Times New Roman"/>
              </w:rPr>
              <w:t>t→t+1</w:t>
            </w:r>
          </w:p>
        </w:tc>
        <w:tc>
          <w:tcPr>
            <w:tcW w:w="2700" w:type="dxa"/>
            <w:tcBorders>
              <w:top w:val="single" w:sz="3" w:space="0" w:color="000000"/>
              <w:left w:val="nil"/>
              <w:bottom w:val="nil"/>
              <w:right w:val="nil"/>
            </w:tcBorders>
            <w:tcMar>
              <w:top w:w="80" w:type="dxa"/>
              <w:left w:w="160" w:type="dxa"/>
              <w:bottom w:w="80" w:type="dxa"/>
              <w:right w:w="160" w:type="dxa"/>
            </w:tcMar>
          </w:tcPr>
          <w:p w14:paraId="461D6335"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0.532</w:t>
            </w:r>
          </w:p>
        </w:tc>
        <w:tc>
          <w:tcPr>
            <w:tcW w:w="2715" w:type="dxa"/>
            <w:tcBorders>
              <w:top w:val="single" w:sz="3" w:space="0" w:color="000000"/>
              <w:left w:val="nil"/>
              <w:bottom w:val="nil"/>
              <w:right w:val="nil"/>
            </w:tcBorders>
            <w:tcMar>
              <w:top w:w="80" w:type="dxa"/>
              <w:left w:w="160" w:type="dxa"/>
              <w:bottom w:w="80" w:type="dxa"/>
              <w:right w:w="160" w:type="dxa"/>
            </w:tcMar>
          </w:tcPr>
          <w:p w14:paraId="7073D400"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16</w:t>
            </w:r>
          </w:p>
        </w:tc>
      </w:tr>
      <w:tr w:rsidR="00273C33" w:rsidRPr="005403BF" w14:paraId="507E2939" w14:textId="77777777">
        <w:trPr>
          <w:trHeight w:val="435"/>
        </w:trPr>
        <w:tc>
          <w:tcPr>
            <w:tcW w:w="1860" w:type="dxa"/>
            <w:tcBorders>
              <w:top w:val="single" w:sz="3" w:space="0" w:color="000000"/>
              <w:left w:val="nil"/>
              <w:bottom w:val="nil"/>
              <w:right w:val="nil"/>
            </w:tcBorders>
            <w:tcMar>
              <w:top w:w="80" w:type="dxa"/>
              <w:left w:w="160" w:type="dxa"/>
              <w:bottom w:w="80" w:type="dxa"/>
              <w:right w:w="160" w:type="dxa"/>
            </w:tcMar>
          </w:tcPr>
          <w:p w14:paraId="54B3AE1F"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Cardo" w:hAnsi="Times New Roman" w:cs="Times New Roman"/>
              </w:rPr>
              <w:t>t→t+2</w:t>
            </w:r>
          </w:p>
        </w:tc>
        <w:tc>
          <w:tcPr>
            <w:tcW w:w="2700" w:type="dxa"/>
            <w:tcBorders>
              <w:top w:val="single" w:sz="3" w:space="0" w:color="000000"/>
              <w:left w:val="nil"/>
              <w:bottom w:val="nil"/>
              <w:right w:val="nil"/>
            </w:tcBorders>
            <w:tcMar>
              <w:top w:w="80" w:type="dxa"/>
              <w:left w:w="160" w:type="dxa"/>
              <w:bottom w:w="80" w:type="dxa"/>
              <w:right w:w="160" w:type="dxa"/>
            </w:tcMar>
          </w:tcPr>
          <w:p w14:paraId="0C2BCE81"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0.214</w:t>
            </w:r>
          </w:p>
        </w:tc>
        <w:tc>
          <w:tcPr>
            <w:tcW w:w="2715" w:type="dxa"/>
            <w:tcBorders>
              <w:top w:val="single" w:sz="3" w:space="0" w:color="000000"/>
              <w:left w:val="nil"/>
              <w:bottom w:val="nil"/>
              <w:right w:val="nil"/>
            </w:tcBorders>
            <w:tcMar>
              <w:top w:w="80" w:type="dxa"/>
              <w:left w:w="160" w:type="dxa"/>
              <w:bottom w:w="80" w:type="dxa"/>
              <w:right w:w="160" w:type="dxa"/>
            </w:tcMar>
          </w:tcPr>
          <w:p w14:paraId="079DEC48"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rPr>
              <w:t>13</w:t>
            </w:r>
          </w:p>
        </w:tc>
      </w:tr>
    </w:tbl>
    <w:p w14:paraId="130049D9" w14:textId="77777777" w:rsidR="00273C33" w:rsidRPr="005403BF" w:rsidRDefault="00D441EA" w:rsidP="00F166BB">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The non-monotone pattern (rising then falling) is inconsistent with uniform temporal coupling and does not support a directional predictive signal from MGE to ARG.</w:t>
      </w:r>
    </w:p>
    <w:p w14:paraId="0D1DD104"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noProof/>
        </w:rPr>
        <w:drawing>
          <wp:inline distT="114300" distB="114300" distL="114300" distR="114300" wp14:anchorId="4F424B1B" wp14:editId="3D483163">
            <wp:extent cx="4276725" cy="274232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76725" cy="2742327"/>
                    </a:xfrm>
                    <a:prstGeom prst="rect">
                      <a:avLst/>
                    </a:prstGeom>
                    <a:ln/>
                  </pic:spPr>
                </pic:pic>
              </a:graphicData>
            </a:graphic>
          </wp:inline>
        </w:drawing>
      </w:r>
    </w:p>
    <w:p w14:paraId="4BE84F5C" w14:textId="77777777"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Cardo" w:hAnsi="Times New Roman" w:cs="Times New Roman"/>
          <w:sz w:val="20"/>
          <w:szCs w:val="20"/>
        </w:rPr>
        <w:t>Fig. 3: Lag correlation across offsets. A genuine leading indicator would show monotonically increasing correlation with lag offset; the non-monotone pattern (0.400 → 0.532 → 0.214) is inconsistent with directional prediction.</w:t>
      </w:r>
    </w:p>
    <w:p w14:paraId="2A394C26" w14:textId="77777777" w:rsidR="00273C33" w:rsidRPr="005403BF" w:rsidRDefault="00273C33" w:rsidP="005403BF">
      <w:pPr>
        <w:spacing w:line="240" w:lineRule="auto"/>
        <w:rPr>
          <w:rFonts w:ascii="Times New Roman" w:eastAsia="Times New Roman" w:hAnsi="Times New Roman" w:cs="Times New Roman"/>
        </w:rPr>
      </w:pPr>
    </w:p>
    <w:p w14:paraId="732B0B78" w14:textId="77777777" w:rsidR="00273C33" w:rsidRPr="00D24A9D" w:rsidRDefault="00D441EA" w:rsidP="005403BF">
      <w:pPr>
        <w:spacing w:line="240" w:lineRule="auto"/>
        <w:rPr>
          <w:b/>
          <w:bCs/>
        </w:rPr>
      </w:pPr>
      <w:r w:rsidRPr="00D24A9D">
        <w:rPr>
          <w:b/>
          <w:bCs/>
        </w:rPr>
        <w:t>3.3. Differenced Model</w:t>
      </w:r>
    </w:p>
    <w:p w14:paraId="5563E73D" w14:textId="77777777" w:rsidR="00273C33" w:rsidRPr="005403BF" w:rsidRDefault="00D441EA" w:rsidP="005403BF">
      <w:pPr>
        <w:spacing w:after="240"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Table 2: First-difference and Granger-style results.</w:t>
      </w:r>
    </w:p>
    <w:tbl>
      <w:tblPr>
        <w:tblStyle w:val="a0"/>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20"/>
        <w:gridCol w:w="1035"/>
        <w:gridCol w:w="1305"/>
        <w:gridCol w:w="1830"/>
      </w:tblGrid>
      <w:tr w:rsidR="00273C33" w:rsidRPr="005403BF" w14:paraId="35958413" w14:textId="77777777">
        <w:trPr>
          <w:trHeight w:val="435"/>
        </w:trPr>
        <w:tc>
          <w:tcPr>
            <w:tcW w:w="2295" w:type="dxa"/>
            <w:tcBorders>
              <w:top w:val="nil"/>
              <w:left w:val="nil"/>
              <w:bottom w:val="single" w:sz="3" w:space="0" w:color="000000"/>
              <w:right w:val="nil"/>
            </w:tcBorders>
            <w:tcMar>
              <w:top w:w="80" w:type="dxa"/>
              <w:left w:w="160" w:type="dxa"/>
              <w:bottom w:w="80" w:type="dxa"/>
              <w:right w:w="160" w:type="dxa"/>
            </w:tcMar>
          </w:tcPr>
          <w:p w14:paraId="74AAF7AF" w14:textId="77777777" w:rsidR="00273C33" w:rsidRPr="005403BF" w:rsidRDefault="00D441EA" w:rsidP="005403BF">
            <w:pPr>
              <w:spacing w:after="160" w:line="240" w:lineRule="auto"/>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Test</w:t>
            </w:r>
          </w:p>
        </w:tc>
        <w:tc>
          <w:tcPr>
            <w:tcW w:w="2220" w:type="dxa"/>
            <w:tcBorders>
              <w:top w:val="nil"/>
              <w:left w:val="nil"/>
              <w:bottom w:val="single" w:sz="3" w:space="0" w:color="000000"/>
              <w:right w:val="nil"/>
            </w:tcBorders>
            <w:tcMar>
              <w:top w:w="80" w:type="dxa"/>
              <w:left w:w="160" w:type="dxa"/>
              <w:bottom w:w="80" w:type="dxa"/>
              <w:right w:w="160" w:type="dxa"/>
            </w:tcMar>
          </w:tcPr>
          <w:p w14:paraId="5DECDD53"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Coefficient / Metric</w:t>
            </w:r>
          </w:p>
        </w:tc>
        <w:tc>
          <w:tcPr>
            <w:tcW w:w="1035" w:type="dxa"/>
            <w:tcBorders>
              <w:top w:val="nil"/>
              <w:left w:val="nil"/>
              <w:bottom w:val="single" w:sz="3" w:space="0" w:color="000000"/>
              <w:right w:val="nil"/>
            </w:tcBorders>
            <w:tcMar>
              <w:top w:w="80" w:type="dxa"/>
              <w:left w:w="160" w:type="dxa"/>
              <w:bottom w:w="80" w:type="dxa"/>
              <w:right w:w="160" w:type="dxa"/>
            </w:tcMar>
          </w:tcPr>
          <w:p w14:paraId="62F39098"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p-value</w:t>
            </w:r>
          </w:p>
        </w:tc>
        <w:tc>
          <w:tcPr>
            <w:tcW w:w="1305" w:type="dxa"/>
            <w:tcBorders>
              <w:top w:val="nil"/>
              <w:left w:val="nil"/>
              <w:bottom w:val="single" w:sz="3" w:space="0" w:color="000000"/>
              <w:right w:val="nil"/>
            </w:tcBorders>
            <w:tcMar>
              <w:top w:w="80" w:type="dxa"/>
              <w:left w:w="160" w:type="dxa"/>
              <w:bottom w:w="80" w:type="dxa"/>
              <w:right w:w="160" w:type="dxa"/>
            </w:tcMar>
          </w:tcPr>
          <w:p w14:paraId="34FEF016"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R-squared</w:t>
            </w:r>
          </w:p>
        </w:tc>
        <w:tc>
          <w:tcPr>
            <w:tcW w:w="1830" w:type="dxa"/>
            <w:tcBorders>
              <w:top w:val="nil"/>
              <w:left w:val="nil"/>
              <w:bottom w:val="single" w:sz="3" w:space="0" w:color="000000"/>
              <w:right w:val="nil"/>
            </w:tcBorders>
            <w:tcMar>
              <w:top w:w="80" w:type="dxa"/>
              <w:left w:w="160" w:type="dxa"/>
              <w:bottom w:w="80" w:type="dxa"/>
              <w:right w:w="160" w:type="dxa"/>
            </w:tcMar>
          </w:tcPr>
          <w:p w14:paraId="334D3FCE"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n</w:t>
            </w:r>
          </w:p>
        </w:tc>
      </w:tr>
      <w:tr w:rsidR="00273C33" w:rsidRPr="005403BF" w14:paraId="40445B90" w14:textId="77777777">
        <w:trPr>
          <w:trHeight w:val="435"/>
        </w:trPr>
        <w:tc>
          <w:tcPr>
            <w:tcW w:w="2295" w:type="dxa"/>
            <w:tcBorders>
              <w:top w:val="nil"/>
              <w:left w:val="nil"/>
              <w:bottom w:val="nil"/>
              <w:right w:val="nil"/>
            </w:tcBorders>
            <w:tcMar>
              <w:top w:w="80" w:type="dxa"/>
              <w:left w:w="160" w:type="dxa"/>
              <w:bottom w:w="80" w:type="dxa"/>
              <w:right w:w="160" w:type="dxa"/>
            </w:tcMar>
          </w:tcPr>
          <w:p w14:paraId="43F89642" w14:textId="77777777" w:rsidR="00273C33" w:rsidRPr="005403BF" w:rsidRDefault="00D441EA" w:rsidP="005403BF">
            <w:pPr>
              <w:spacing w:after="160" w:line="240" w:lineRule="auto"/>
              <w:rPr>
                <w:rFonts w:ascii="Times New Roman" w:eastAsia="Times New Roman" w:hAnsi="Times New Roman" w:cs="Times New Roman"/>
                <w:sz w:val="20"/>
                <w:szCs w:val="20"/>
              </w:rPr>
            </w:pPr>
            <w:proofErr w:type="spellStart"/>
            <w:r w:rsidRPr="005403BF">
              <w:rPr>
                <w:rFonts w:ascii="Times New Roman" w:eastAsia="Times New Roman" w:hAnsi="Times New Roman" w:cs="Times New Roman"/>
                <w:sz w:val="20"/>
                <w:szCs w:val="20"/>
              </w:rPr>
              <w:t>dARG</w:t>
            </w:r>
            <w:proofErr w:type="spellEnd"/>
            <w:r w:rsidRPr="005403BF">
              <w:rPr>
                <w:rFonts w:ascii="Times New Roman" w:eastAsia="Times New Roman" w:hAnsi="Times New Roman" w:cs="Times New Roman"/>
                <w:sz w:val="20"/>
                <w:szCs w:val="20"/>
              </w:rPr>
              <w:t xml:space="preserve">(t+1) ~ </w:t>
            </w:r>
            <w:proofErr w:type="spellStart"/>
            <w:r w:rsidRPr="005403BF">
              <w:rPr>
                <w:rFonts w:ascii="Times New Roman" w:eastAsia="Times New Roman" w:hAnsi="Times New Roman" w:cs="Times New Roman"/>
                <w:sz w:val="20"/>
                <w:szCs w:val="20"/>
              </w:rPr>
              <w:t>dMGE</w:t>
            </w:r>
            <w:proofErr w:type="spellEnd"/>
            <w:r w:rsidRPr="005403BF">
              <w:rPr>
                <w:rFonts w:ascii="Times New Roman" w:eastAsia="Times New Roman" w:hAnsi="Times New Roman" w:cs="Times New Roman"/>
                <w:sz w:val="20"/>
                <w:szCs w:val="20"/>
              </w:rPr>
              <w:t>(t)</w:t>
            </w:r>
          </w:p>
        </w:tc>
        <w:tc>
          <w:tcPr>
            <w:tcW w:w="2220" w:type="dxa"/>
            <w:tcBorders>
              <w:top w:val="nil"/>
              <w:left w:val="nil"/>
              <w:bottom w:val="nil"/>
              <w:right w:val="nil"/>
            </w:tcBorders>
            <w:tcMar>
              <w:top w:w="80" w:type="dxa"/>
              <w:left w:w="160" w:type="dxa"/>
              <w:bottom w:w="80" w:type="dxa"/>
              <w:right w:w="160" w:type="dxa"/>
            </w:tcMar>
          </w:tcPr>
          <w:p w14:paraId="32A93526"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12.48</w:t>
            </w:r>
          </w:p>
        </w:tc>
        <w:tc>
          <w:tcPr>
            <w:tcW w:w="1035" w:type="dxa"/>
            <w:tcBorders>
              <w:top w:val="nil"/>
              <w:left w:val="nil"/>
              <w:bottom w:val="nil"/>
              <w:right w:val="nil"/>
            </w:tcBorders>
            <w:tcMar>
              <w:top w:w="80" w:type="dxa"/>
              <w:left w:w="160" w:type="dxa"/>
              <w:bottom w:w="80" w:type="dxa"/>
              <w:right w:w="160" w:type="dxa"/>
            </w:tcMar>
          </w:tcPr>
          <w:p w14:paraId="2068BE1C"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0.649</w:t>
            </w:r>
          </w:p>
        </w:tc>
        <w:tc>
          <w:tcPr>
            <w:tcW w:w="1305" w:type="dxa"/>
            <w:tcBorders>
              <w:top w:val="nil"/>
              <w:left w:val="nil"/>
              <w:bottom w:val="nil"/>
              <w:right w:val="nil"/>
            </w:tcBorders>
            <w:tcMar>
              <w:top w:w="80" w:type="dxa"/>
              <w:left w:w="160" w:type="dxa"/>
              <w:bottom w:w="80" w:type="dxa"/>
              <w:right w:w="160" w:type="dxa"/>
            </w:tcMar>
          </w:tcPr>
          <w:p w14:paraId="6D5200B3"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0.020</w:t>
            </w:r>
          </w:p>
        </w:tc>
        <w:tc>
          <w:tcPr>
            <w:tcW w:w="1830" w:type="dxa"/>
            <w:tcBorders>
              <w:top w:val="nil"/>
              <w:left w:val="nil"/>
              <w:bottom w:val="nil"/>
              <w:right w:val="nil"/>
            </w:tcBorders>
            <w:tcMar>
              <w:top w:w="80" w:type="dxa"/>
              <w:left w:w="160" w:type="dxa"/>
              <w:bottom w:w="80" w:type="dxa"/>
              <w:right w:w="160" w:type="dxa"/>
            </w:tcMar>
          </w:tcPr>
          <w:p w14:paraId="7DF1CCA2"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13</w:t>
            </w:r>
          </w:p>
        </w:tc>
      </w:tr>
      <w:tr w:rsidR="00273C33" w:rsidRPr="005403BF" w14:paraId="558D4813" w14:textId="77777777">
        <w:trPr>
          <w:trHeight w:val="435"/>
        </w:trPr>
        <w:tc>
          <w:tcPr>
            <w:tcW w:w="2295" w:type="dxa"/>
            <w:tcBorders>
              <w:top w:val="single" w:sz="3" w:space="0" w:color="000000"/>
              <w:left w:val="nil"/>
              <w:bottom w:val="nil"/>
              <w:right w:val="nil"/>
            </w:tcBorders>
            <w:tcMar>
              <w:top w:w="80" w:type="dxa"/>
              <w:left w:w="160" w:type="dxa"/>
              <w:bottom w:w="80" w:type="dxa"/>
              <w:right w:w="160" w:type="dxa"/>
            </w:tcMar>
          </w:tcPr>
          <w:p w14:paraId="19796EC5" w14:textId="77777777" w:rsidR="00273C33" w:rsidRPr="005403BF" w:rsidRDefault="00D441EA" w:rsidP="005403BF">
            <w:pPr>
              <w:spacing w:after="160" w:line="240" w:lineRule="auto"/>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Granger delta R²</w:t>
            </w:r>
          </w:p>
        </w:tc>
        <w:tc>
          <w:tcPr>
            <w:tcW w:w="2220" w:type="dxa"/>
            <w:tcBorders>
              <w:top w:val="single" w:sz="3" w:space="0" w:color="000000"/>
              <w:left w:val="nil"/>
              <w:bottom w:val="nil"/>
              <w:right w:val="nil"/>
            </w:tcBorders>
            <w:tcMar>
              <w:top w:w="80" w:type="dxa"/>
              <w:left w:w="160" w:type="dxa"/>
              <w:bottom w:w="80" w:type="dxa"/>
              <w:right w:w="160" w:type="dxa"/>
            </w:tcMar>
          </w:tcPr>
          <w:p w14:paraId="629B2BAB"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0.014</w:t>
            </w:r>
          </w:p>
        </w:tc>
        <w:tc>
          <w:tcPr>
            <w:tcW w:w="1035" w:type="dxa"/>
            <w:tcBorders>
              <w:top w:val="single" w:sz="3" w:space="0" w:color="000000"/>
              <w:left w:val="nil"/>
              <w:bottom w:val="nil"/>
              <w:right w:val="nil"/>
            </w:tcBorders>
            <w:tcMar>
              <w:top w:w="80" w:type="dxa"/>
              <w:left w:w="160" w:type="dxa"/>
              <w:bottom w:w="80" w:type="dxa"/>
              <w:right w:w="160" w:type="dxa"/>
            </w:tcMar>
          </w:tcPr>
          <w:p w14:paraId="75E7307C"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0.539</w:t>
            </w:r>
          </w:p>
        </w:tc>
        <w:tc>
          <w:tcPr>
            <w:tcW w:w="1305" w:type="dxa"/>
            <w:tcBorders>
              <w:top w:val="single" w:sz="3" w:space="0" w:color="000000"/>
              <w:left w:val="nil"/>
              <w:bottom w:val="nil"/>
              <w:right w:val="nil"/>
            </w:tcBorders>
            <w:tcMar>
              <w:top w:w="80" w:type="dxa"/>
              <w:left w:w="160" w:type="dxa"/>
              <w:bottom w:w="80" w:type="dxa"/>
              <w:right w:w="160" w:type="dxa"/>
            </w:tcMar>
          </w:tcPr>
          <w:p w14:paraId="413BFE6E"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w:t>
            </w:r>
          </w:p>
        </w:tc>
        <w:tc>
          <w:tcPr>
            <w:tcW w:w="1830" w:type="dxa"/>
            <w:tcBorders>
              <w:top w:val="single" w:sz="3" w:space="0" w:color="000000"/>
              <w:left w:val="nil"/>
              <w:bottom w:val="nil"/>
              <w:right w:val="nil"/>
            </w:tcBorders>
            <w:tcMar>
              <w:top w:w="80" w:type="dxa"/>
              <w:left w:w="160" w:type="dxa"/>
              <w:bottom w:w="80" w:type="dxa"/>
              <w:right w:w="160" w:type="dxa"/>
            </w:tcMar>
          </w:tcPr>
          <w:p w14:paraId="359CA5B1" w14:textId="77777777" w:rsidR="00273C33" w:rsidRPr="005403BF" w:rsidRDefault="00D441EA" w:rsidP="005403BF">
            <w:pPr>
              <w:spacing w:after="160"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14</w:t>
            </w:r>
          </w:p>
        </w:tc>
      </w:tr>
    </w:tbl>
    <w:p w14:paraId="2812D366" w14:textId="77777777" w:rsidR="00273C33" w:rsidRPr="005403BF" w:rsidRDefault="00D441EA" w:rsidP="00F166BB">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After trend removal, R² collapses to 0.020; adding MGE to a model that already includes ARG history adds delta R²=0.014 (p=0.539). Both confirm the forward model's apparent fit carries no independent MGE predictive content.</w:t>
      </w:r>
    </w:p>
    <w:p w14:paraId="7544C95E"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noProof/>
        </w:rPr>
        <w:lastRenderedPageBreak/>
        <w:drawing>
          <wp:inline distT="114300" distB="114300" distL="114300" distR="114300" wp14:anchorId="159B6FFE" wp14:editId="0F18B074">
            <wp:extent cx="5232400" cy="2218055"/>
            <wp:effectExtent l="0" t="0" r="635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232884" cy="2218260"/>
                    </a:xfrm>
                    <a:prstGeom prst="rect">
                      <a:avLst/>
                    </a:prstGeom>
                    <a:ln/>
                  </pic:spPr>
                </pic:pic>
              </a:graphicData>
            </a:graphic>
          </wp:inline>
        </w:drawing>
      </w:r>
    </w:p>
    <w:p w14:paraId="6AEE08C4" w14:textId="77777777"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 xml:space="preserve">Fig. 4: Effect of differencing. Left: raw scatter (R²=0.720) showing study-cluster structure driving apparent fit. Right: after differencing to remove shared trends (R²=0.020), no signal remains. Both panels </w:t>
      </w:r>
      <w:proofErr w:type="gramStart"/>
      <w:r w:rsidRPr="005403BF">
        <w:rPr>
          <w:rFonts w:ascii="Times New Roman" w:eastAsia="Times New Roman" w:hAnsi="Times New Roman" w:cs="Times New Roman"/>
          <w:sz w:val="20"/>
          <w:szCs w:val="20"/>
        </w:rPr>
        <w:t>colored</w:t>
      </w:r>
      <w:proofErr w:type="gramEnd"/>
      <w:r w:rsidRPr="005403BF">
        <w:rPr>
          <w:rFonts w:ascii="Times New Roman" w:eastAsia="Times New Roman" w:hAnsi="Times New Roman" w:cs="Times New Roman"/>
          <w:sz w:val="20"/>
          <w:szCs w:val="20"/>
        </w:rPr>
        <w:t xml:space="preserve"> by study.</w:t>
      </w:r>
    </w:p>
    <w:p w14:paraId="48D33D84" w14:textId="77777777" w:rsidR="00273C33" w:rsidRPr="005403BF" w:rsidRDefault="00273C33" w:rsidP="005403BF">
      <w:pPr>
        <w:spacing w:line="240" w:lineRule="auto"/>
        <w:jc w:val="center"/>
        <w:rPr>
          <w:rFonts w:ascii="Times New Roman" w:eastAsia="Times New Roman" w:hAnsi="Times New Roman" w:cs="Times New Roman"/>
          <w:i/>
          <w:iCs/>
          <w:sz w:val="20"/>
          <w:szCs w:val="20"/>
        </w:rPr>
      </w:pPr>
    </w:p>
    <w:p w14:paraId="6AEBC399" w14:textId="77777777" w:rsidR="00273C33" w:rsidRPr="005403BF" w:rsidRDefault="00D441EA" w:rsidP="005403BF">
      <w:pPr>
        <w:spacing w:line="240" w:lineRule="auto"/>
        <w:rPr>
          <w:b/>
          <w:bCs/>
        </w:rPr>
      </w:pPr>
      <w:r w:rsidRPr="005403BF">
        <w:rPr>
          <w:b/>
          <w:bCs/>
        </w:rPr>
        <w:t>3.4. Within-Study Models</w:t>
      </w:r>
    </w:p>
    <w:p w14:paraId="71BBABD5" w14:textId="77777777" w:rsidR="00273C33" w:rsidRPr="005403BF" w:rsidRDefault="00D441EA" w:rsidP="005403BF">
      <w:pPr>
        <w:spacing w:line="240" w:lineRule="auto"/>
        <w:jc w:val="center"/>
        <w:rPr>
          <w:rFonts w:ascii="Times New Roman" w:eastAsia="Times New Roman" w:hAnsi="Times New Roman" w:cs="Times New Roman"/>
          <w:i/>
          <w:iCs/>
          <w:sz w:val="20"/>
          <w:szCs w:val="20"/>
        </w:rPr>
      </w:pPr>
      <w:r w:rsidRPr="005403BF">
        <w:rPr>
          <w:rFonts w:ascii="Times New Roman" w:eastAsia="Times New Roman" w:hAnsi="Times New Roman" w:cs="Times New Roman"/>
          <w:i/>
          <w:iCs/>
          <w:sz w:val="20"/>
          <w:szCs w:val="20"/>
        </w:rPr>
        <w:t>Table 3: Within-study lag models.</w:t>
      </w:r>
    </w:p>
    <w:tbl>
      <w:tblPr>
        <w:tblStyle w:val="a1"/>
        <w:tblW w:w="8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1710"/>
        <w:gridCol w:w="1275"/>
        <w:gridCol w:w="990"/>
        <w:gridCol w:w="1395"/>
      </w:tblGrid>
      <w:tr w:rsidR="00273C33" w:rsidRPr="005403BF" w14:paraId="3CEBD97E" w14:textId="77777777">
        <w:trPr>
          <w:trHeight w:val="435"/>
        </w:trPr>
        <w:tc>
          <w:tcPr>
            <w:tcW w:w="2850" w:type="dxa"/>
            <w:tcBorders>
              <w:top w:val="nil"/>
              <w:left w:val="nil"/>
              <w:bottom w:val="single" w:sz="3" w:space="0" w:color="000000"/>
              <w:right w:val="nil"/>
            </w:tcBorders>
            <w:tcMar>
              <w:top w:w="80" w:type="dxa"/>
              <w:left w:w="160" w:type="dxa"/>
              <w:bottom w:w="80" w:type="dxa"/>
              <w:right w:w="160" w:type="dxa"/>
            </w:tcMar>
          </w:tcPr>
          <w:p w14:paraId="47BBEFE8" w14:textId="77777777" w:rsidR="00273C33" w:rsidRPr="005403BF" w:rsidRDefault="00D441EA" w:rsidP="005403BF">
            <w:pPr>
              <w:spacing w:line="240" w:lineRule="auto"/>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Study</w:t>
            </w:r>
          </w:p>
        </w:tc>
        <w:tc>
          <w:tcPr>
            <w:tcW w:w="1710" w:type="dxa"/>
            <w:tcBorders>
              <w:top w:val="nil"/>
              <w:left w:val="nil"/>
              <w:bottom w:val="single" w:sz="3" w:space="0" w:color="000000"/>
              <w:right w:val="nil"/>
            </w:tcBorders>
            <w:tcMar>
              <w:top w:w="80" w:type="dxa"/>
              <w:left w:w="160" w:type="dxa"/>
              <w:bottom w:w="80" w:type="dxa"/>
              <w:right w:w="160" w:type="dxa"/>
            </w:tcMar>
          </w:tcPr>
          <w:p w14:paraId="0FEF75EB"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Coefficient</w:t>
            </w:r>
          </w:p>
        </w:tc>
        <w:tc>
          <w:tcPr>
            <w:tcW w:w="1275" w:type="dxa"/>
            <w:tcBorders>
              <w:top w:val="nil"/>
              <w:left w:val="nil"/>
              <w:bottom w:val="single" w:sz="3" w:space="0" w:color="000000"/>
              <w:right w:val="nil"/>
            </w:tcBorders>
            <w:tcMar>
              <w:top w:w="80" w:type="dxa"/>
              <w:left w:w="160" w:type="dxa"/>
              <w:bottom w:w="80" w:type="dxa"/>
              <w:right w:w="160" w:type="dxa"/>
            </w:tcMar>
          </w:tcPr>
          <w:p w14:paraId="708B7BA7"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p-value</w:t>
            </w:r>
          </w:p>
        </w:tc>
        <w:tc>
          <w:tcPr>
            <w:tcW w:w="990" w:type="dxa"/>
            <w:tcBorders>
              <w:top w:val="nil"/>
              <w:left w:val="nil"/>
              <w:bottom w:val="single" w:sz="3" w:space="0" w:color="000000"/>
              <w:right w:val="nil"/>
            </w:tcBorders>
            <w:tcMar>
              <w:top w:w="80" w:type="dxa"/>
              <w:left w:w="160" w:type="dxa"/>
              <w:bottom w:w="80" w:type="dxa"/>
              <w:right w:w="160" w:type="dxa"/>
            </w:tcMar>
          </w:tcPr>
          <w:p w14:paraId="3213BA38"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R²</w:t>
            </w:r>
          </w:p>
        </w:tc>
        <w:tc>
          <w:tcPr>
            <w:tcW w:w="1395" w:type="dxa"/>
            <w:tcBorders>
              <w:top w:val="nil"/>
              <w:left w:val="nil"/>
              <w:bottom w:val="single" w:sz="3" w:space="0" w:color="000000"/>
              <w:right w:val="nil"/>
            </w:tcBorders>
            <w:tcMar>
              <w:top w:w="80" w:type="dxa"/>
              <w:left w:w="160" w:type="dxa"/>
              <w:bottom w:w="80" w:type="dxa"/>
              <w:right w:w="160" w:type="dxa"/>
            </w:tcMar>
          </w:tcPr>
          <w:p w14:paraId="39DBB642"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n (pairs)</w:t>
            </w:r>
          </w:p>
        </w:tc>
      </w:tr>
      <w:tr w:rsidR="00273C33" w:rsidRPr="005403BF" w14:paraId="19870AF2" w14:textId="77777777">
        <w:trPr>
          <w:trHeight w:val="435"/>
        </w:trPr>
        <w:tc>
          <w:tcPr>
            <w:tcW w:w="2850" w:type="dxa"/>
            <w:tcBorders>
              <w:top w:val="nil"/>
              <w:left w:val="nil"/>
              <w:bottom w:val="nil"/>
              <w:right w:val="nil"/>
            </w:tcBorders>
            <w:tcMar>
              <w:top w:w="80" w:type="dxa"/>
              <w:left w:w="160" w:type="dxa"/>
              <w:bottom w:w="80" w:type="dxa"/>
              <w:right w:w="160" w:type="dxa"/>
            </w:tcMar>
          </w:tcPr>
          <w:p w14:paraId="3F03969B" w14:textId="77777777" w:rsidR="00273C33" w:rsidRPr="005403BF" w:rsidRDefault="00D441EA" w:rsidP="005403BF">
            <w:pPr>
              <w:spacing w:line="240" w:lineRule="auto"/>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PRJNA1071831_Drag</w:t>
            </w:r>
          </w:p>
        </w:tc>
        <w:tc>
          <w:tcPr>
            <w:tcW w:w="1710" w:type="dxa"/>
            <w:tcBorders>
              <w:top w:val="nil"/>
              <w:left w:val="nil"/>
              <w:bottom w:val="nil"/>
              <w:right w:val="nil"/>
            </w:tcBorders>
            <w:tcMar>
              <w:top w:w="80" w:type="dxa"/>
              <w:left w:w="160" w:type="dxa"/>
              <w:bottom w:w="80" w:type="dxa"/>
              <w:right w:w="160" w:type="dxa"/>
            </w:tcMar>
          </w:tcPr>
          <w:p w14:paraId="07B59E5D"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31.0</w:t>
            </w:r>
          </w:p>
        </w:tc>
        <w:tc>
          <w:tcPr>
            <w:tcW w:w="1275" w:type="dxa"/>
            <w:tcBorders>
              <w:top w:val="nil"/>
              <w:left w:val="nil"/>
              <w:bottom w:val="nil"/>
              <w:right w:val="nil"/>
            </w:tcBorders>
            <w:tcMar>
              <w:top w:w="80" w:type="dxa"/>
              <w:left w:w="160" w:type="dxa"/>
              <w:bottom w:w="80" w:type="dxa"/>
              <w:right w:w="160" w:type="dxa"/>
            </w:tcMar>
          </w:tcPr>
          <w:p w14:paraId="5D891865"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0.687</w:t>
            </w:r>
          </w:p>
        </w:tc>
        <w:tc>
          <w:tcPr>
            <w:tcW w:w="990" w:type="dxa"/>
            <w:tcBorders>
              <w:top w:val="nil"/>
              <w:left w:val="nil"/>
              <w:bottom w:val="nil"/>
              <w:right w:val="nil"/>
            </w:tcBorders>
            <w:tcMar>
              <w:top w:w="80" w:type="dxa"/>
              <w:left w:w="160" w:type="dxa"/>
              <w:bottom w:w="80" w:type="dxa"/>
              <w:right w:w="160" w:type="dxa"/>
            </w:tcMar>
          </w:tcPr>
          <w:p w14:paraId="6F79C6E3"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0.223</w:t>
            </w:r>
          </w:p>
        </w:tc>
        <w:tc>
          <w:tcPr>
            <w:tcW w:w="1395" w:type="dxa"/>
            <w:tcBorders>
              <w:top w:val="nil"/>
              <w:left w:val="nil"/>
              <w:bottom w:val="nil"/>
              <w:right w:val="nil"/>
            </w:tcBorders>
            <w:tcMar>
              <w:top w:w="80" w:type="dxa"/>
              <w:left w:w="160" w:type="dxa"/>
              <w:bottom w:w="80" w:type="dxa"/>
              <w:right w:w="160" w:type="dxa"/>
            </w:tcMar>
          </w:tcPr>
          <w:p w14:paraId="2DCFD765"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3</w:t>
            </w:r>
          </w:p>
        </w:tc>
      </w:tr>
      <w:tr w:rsidR="00273C33" w:rsidRPr="005403BF" w14:paraId="32C2549E" w14:textId="77777777">
        <w:trPr>
          <w:trHeight w:val="435"/>
        </w:trPr>
        <w:tc>
          <w:tcPr>
            <w:tcW w:w="2850" w:type="dxa"/>
            <w:tcBorders>
              <w:top w:val="single" w:sz="3" w:space="0" w:color="000000"/>
              <w:left w:val="nil"/>
              <w:bottom w:val="nil"/>
              <w:right w:val="nil"/>
            </w:tcBorders>
            <w:tcMar>
              <w:top w:w="80" w:type="dxa"/>
              <w:left w:w="160" w:type="dxa"/>
              <w:bottom w:w="80" w:type="dxa"/>
              <w:right w:w="160" w:type="dxa"/>
            </w:tcMar>
          </w:tcPr>
          <w:p w14:paraId="6CBBA3CD" w14:textId="77777777" w:rsidR="00273C33" w:rsidRPr="005403BF" w:rsidRDefault="00D441EA" w:rsidP="005403BF">
            <w:pPr>
              <w:spacing w:line="240" w:lineRule="auto"/>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PRJNA1071831_Mech</w:t>
            </w:r>
          </w:p>
        </w:tc>
        <w:tc>
          <w:tcPr>
            <w:tcW w:w="1710" w:type="dxa"/>
            <w:tcBorders>
              <w:top w:val="single" w:sz="3" w:space="0" w:color="000000"/>
              <w:left w:val="nil"/>
              <w:bottom w:val="nil"/>
              <w:right w:val="nil"/>
            </w:tcBorders>
            <w:tcMar>
              <w:top w:w="80" w:type="dxa"/>
              <w:left w:w="160" w:type="dxa"/>
              <w:bottom w:w="80" w:type="dxa"/>
              <w:right w:w="160" w:type="dxa"/>
            </w:tcMar>
          </w:tcPr>
          <w:p w14:paraId="7587F105"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94.5</w:t>
            </w:r>
          </w:p>
        </w:tc>
        <w:tc>
          <w:tcPr>
            <w:tcW w:w="1275" w:type="dxa"/>
            <w:tcBorders>
              <w:top w:val="single" w:sz="3" w:space="0" w:color="000000"/>
              <w:left w:val="nil"/>
              <w:bottom w:val="nil"/>
              <w:right w:val="nil"/>
            </w:tcBorders>
            <w:tcMar>
              <w:top w:w="80" w:type="dxa"/>
              <w:left w:w="160" w:type="dxa"/>
              <w:bottom w:w="80" w:type="dxa"/>
              <w:right w:w="160" w:type="dxa"/>
            </w:tcMar>
          </w:tcPr>
          <w:p w14:paraId="7B364F43"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0.812</w:t>
            </w:r>
          </w:p>
        </w:tc>
        <w:tc>
          <w:tcPr>
            <w:tcW w:w="990" w:type="dxa"/>
            <w:tcBorders>
              <w:top w:val="single" w:sz="3" w:space="0" w:color="000000"/>
              <w:left w:val="nil"/>
              <w:bottom w:val="nil"/>
              <w:right w:val="nil"/>
            </w:tcBorders>
            <w:tcMar>
              <w:top w:w="80" w:type="dxa"/>
              <w:left w:w="160" w:type="dxa"/>
              <w:bottom w:w="80" w:type="dxa"/>
              <w:right w:w="160" w:type="dxa"/>
            </w:tcMar>
          </w:tcPr>
          <w:p w14:paraId="6D8BC6AE"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0.085</w:t>
            </w:r>
          </w:p>
        </w:tc>
        <w:tc>
          <w:tcPr>
            <w:tcW w:w="1395" w:type="dxa"/>
            <w:tcBorders>
              <w:top w:val="single" w:sz="3" w:space="0" w:color="000000"/>
              <w:left w:val="nil"/>
              <w:bottom w:val="nil"/>
              <w:right w:val="nil"/>
            </w:tcBorders>
            <w:tcMar>
              <w:top w:w="80" w:type="dxa"/>
              <w:left w:w="160" w:type="dxa"/>
              <w:bottom w:w="80" w:type="dxa"/>
              <w:right w:w="160" w:type="dxa"/>
            </w:tcMar>
          </w:tcPr>
          <w:p w14:paraId="2651FF78"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3</w:t>
            </w:r>
          </w:p>
        </w:tc>
      </w:tr>
      <w:tr w:rsidR="00273C33" w:rsidRPr="005403BF" w14:paraId="57973141" w14:textId="77777777">
        <w:trPr>
          <w:trHeight w:val="435"/>
        </w:trPr>
        <w:tc>
          <w:tcPr>
            <w:tcW w:w="2850" w:type="dxa"/>
            <w:tcBorders>
              <w:top w:val="single" w:sz="3" w:space="0" w:color="000000"/>
              <w:left w:val="nil"/>
              <w:bottom w:val="nil"/>
              <w:right w:val="nil"/>
            </w:tcBorders>
            <w:tcMar>
              <w:top w:w="80" w:type="dxa"/>
              <w:left w:w="160" w:type="dxa"/>
              <w:bottom w:w="80" w:type="dxa"/>
              <w:right w:w="160" w:type="dxa"/>
            </w:tcMar>
          </w:tcPr>
          <w:p w14:paraId="643509D0" w14:textId="77777777" w:rsidR="00273C33" w:rsidRPr="005403BF" w:rsidRDefault="00D441EA" w:rsidP="005403BF">
            <w:pPr>
              <w:spacing w:line="240" w:lineRule="auto"/>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PRJNA599167_WGA</w:t>
            </w:r>
          </w:p>
        </w:tc>
        <w:tc>
          <w:tcPr>
            <w:tcW w:w="1710" w:type="dxa"/>
            <w:tcBorders>
              <w:top w:val="single" w:sz="3" w:space="0" w:color="000000"/>
              <w:left w:val="nil"/>
              <w:bottom w:val="nil"/>
              <w:right w:val="nil"/>
            </w:tcBorders>
            <w:tcMar>
              <w:top w:w="80" w:type="dxa"/>
              <w:left w:w="160" w:type="dxa"/>
              <w:bottom w:w="80" w:type="dxa"/>
              <w:right w:w="160" w:type="dxa"/>
            </w:tcMar>
          </w:tcPr>
          <w:p w14:paraId="61C6574A"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Gungsuh" w:hAnsi="Times New Roman" w:cs="Times New Roman"/>
                <w:sz w:val="20"/>
                <w:szCs w:val="20"/>
              </w:rPr>
              <w:t>−33.0</w:t>
            </w:r>
          </w:p>
        </w:tc>
        <w:tc>
          <w:tcPr>
            <w:tcW w:w="1275" w:type="dxa"/>
            <w:tcBorders>
              <w:top w:val="single" w:sz="3" w:space="0" w:color="000000"/>
              <w:left w:val="nil"/>
              <w:bottom w:val="nil"/>
              <w:right w:val="nil"/>
            </w:tcBorders>
            <w:tcMar>
              <w:top w:w="80" w:type="dxa"/>
              <w:left w:w="160" w:type="dxa"/>
              <w:bottom w:w="80" w:type="dxa"/>
              <w:right w:w="160" w:type="dxa"/>
            </w:tcMar>
          </w:tcPr>
          <w:p w14:paraId="110F8CD9"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0.506</w:t>
            </w:r>
          </w:p>
        </w:tc>
        <w:tc>
          <w:tcPr>
            <w:tcW w:w="990" w:type="dxa"/>
            <w:tcBorders>
              <w:top w:val="single" w:sz="3" w:space="0" w:color="000000"/>
              <w:left w:val="nil"/>
              <w:bottom w:val="nil"/>
              <w:right w:val="nil"/>
            </w:tcBorders>
            <w:tcMar>
              <w:top w:w="80" w:type="dxa"/>
              <w:left w:w="160" w:type="dxa"/>
              <w:bottom w:w="80" w:type="dxa"/>
              <w:right w:w="160" w:type="dxa"/>
            </w:tcMar>
          </w:tcPr>
          <w:p w14:paraId="1C9B27F1"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0.057</w:t>
            </w:r>
          </w:p>
        </w:tc>
        <w:tc>
          <w:tcPr>
            <w:tcW w:w="1395" w:type="dxa"/>
            <w:tcBorders>
              <w:top w:val="single" w:sz="3" w:space="0" w:color="000000"/>
              <w:left w:val="nil"/>
              <w:bottom w:val="nil"/>
              <w:right w:val="nil"/>
            </w:tcBorders>
            <w:tcMar>
              <w:top w:w="80" w:type="dxa"/>
              <w:left w:w="160" w:type="dxa"/>
              <w:bottom w:w="80" w:type="dxa"/>
              <w:right w:w="160" w:type="dxa"/>
            </w:tcMar>
          </w:tcPr>
          <w:p w14:paraId="07580A7E" w14:textId="77777777" w:rsidR="00273C33" w:rsidRPr="005403BF" w:rsidRDefault="00D441EA" w:rsidP="005403BF">
            <w:pPr>
              <w:spacing w:line="240" w:lineRule="auto"/>
              <w:jc w:val="right"/>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10</w:t>
            </w:r>
          </w:p>
        </w:tc>
      </w:tr>
    </w:tbl>
    <w:p w14:paraId="5E496E44" w14:textId="77777777" w:rsidR="00273C33" w:rsidRPr="005403BF" w:rsidRDefault="00D441EA" w:rsidP="00F204DA">
      <w:pPr>
        <w:spacing w:line="240" w:lineRule="auto"/>
        <w:ind w:firstLine="720"/>
        <w:rPr>
          <w:rFonts w:ascii="Times New Roman" w:eastAsia="Times New Roman" w:hAnsi="Times New Roman" w:cs="Times New Roman"/>
        </w:rPr>
      </w:pPr>
      <w:r w:rsidRPr="005403BF">
        <w:rPr>
          <w:rFonts w:ascii="Times New Roman" w:eastAsia="Gungsuh" w:hAnsi="Times New Roman" w:cs="Times New Roman"/>
        </w:rPr>
        <w:t>With n=10 lag pairs in the WGA series, the MGE coefficient is negative (−33.0, p=0.506, R²=0.057). Within the Chesapeake Bay series, higher MGE abundance at time t is associated with slightly lower, not higher, ARG at t+1.</w:t>
      </w:r>
    </w:p>
    <w:p w14:paraId="421816DF" w14:textId="77777777" w:rsidR="00273C33" w:rsidRPr="005403BF" w:rsidRDefault="00273C33" w:rsidP="005403BF">
      <w:pPr>
        <w:spacing w:line="240" w:lineRule="auto"/>
        <w:rPr>
          <w:rFonts w:ascii="Times New Roman" w:hAnsi="Times New Roman" w:cs="Times New Roman"/>
          <w:b/>
          <w:bCs/>
          <w:sz w:val="21"/>
          <w:szCs w:val="21"/>
        </w:rPr>
      </w:pPr>
    </w:p>
    <w:p w14:paraId="31323FA1" w14:textId="77777777" w:rsidR="00273C33" w:rsidRPr="005403BF" w:rsidRDefault="00D441EA" w:rsidP="005403BF">
      <w:pPr>
        <w:spacing w:line="240" w:lineRule="auto"/>
        <w:rPr>
          <w:b/>
          <w:bCs/>
        </w:rPr>
      </w:pPr>
      <w:r w:rsidRPr="005403BF">
        <w:rPr>
          <w:b/>
          <w:bCs/>
        </w:rPr>
        <w:t>3.5. Leave-One-Study-Out Sensitivity</w:t>
      </w:r>
    </w:p>
    <w:p w14:paraId="6FBFDC6D" w14:textId="77777777"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Table 4: Leave-one-study-out (LOSO) results.</w:t>
      </w:r>
    </w:p>
    <w:tbl>
      <w:tblPr>
        <w:tblStyle w:val="a2"/>
        <w:tblW w:w="7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1380"/>
        <w:gridCol w:w="1035"/>
        <w:gridCol w:w="1485"/>
        <w:gridCol w:w="1155"/>
      </w:tblGrid>
      <w:tr w:rsidR="00273C33" w:rsidRPr="005403BF" w14:paraId="2E509256" w14:textId="77777777">
        <w:trPr>
          <w:trHeight w:val="435"/>
        </w:trPr>
        <w:tc>
          <w:tcPr>
            <w:tcW w:w="2310" w:type="dxa"/>
            <w:tcBorders>
              <w:top w:val="nil"/>
              <w:left w:val="nil"/>
              <w:bottom w:val="single" w:sz="3" w:space="0" w:color="000000"/>
              <w:right w:val="nil"/>
            </w:tcBorders>
            <w:tcMar>
              <w:top w:w="80" w:type="dxa"/>
              <w:left w:w="160" w:type="dxa"/>
              <w:bottom w:w="80" w:type="dxa"/>
              <w:right w:w="160" w:type="dxa"/>
            </w:tcMar>
          </w:tcPr>
          <w:p w14:paraId="2E7832BE" w14:textId="77777777"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Left-out study</w:t>
            </w:r>
          </w:p>
        </w:tc>
        <w:tc>
          <w:tcPr>
            <w:tcW w:w="1380" w:type="dxa"/>
            <w:tcBorders>
              <w:top w:val="nil"/>
              <w:left w:val="nil"/>
              <w:bottom w:val="single" w:sz="3" w:space="0" w:color="000000"/>
              <w:right w:val="nil"/>
            </w:tcBorders>
            <w:tcMar>
              <w:top w:w="80" w:type="dxa"/>
              <w:left w:w="160" w:type="dxa"/>
              <w:bottom w:w="80" w:type="dxa"/>
              <w:right w:w="160" w:type="dxa"/>
            </w:tcMar>
          </w:tcPr>
          <w:p w14:paraId="543F614A"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Coefficient</w:t>
            </w:r>
          </w:p>
        </w:tc>
        <w:tc>
          <w:tcPr>
            <w:tcW w:w="1035" w:type="dxa"/>
            <w:tcBorders>
              <w:top w:val="nil"/>
              <w:left w:val="nil"/>
              <w:bottom w:val="single" w:sz="3" w:space="0" w:color="000000"/>
              <w:right w:val="nil"/>
            </w:tcBorders>
            <w:tcMar>
              <w:top w:w="80" w:type="dxa"/>
              <w:left w:w="160" w:type="dxa"/>
              <w:bottom w:w="80" w:type="dxa"/>
              <w:right w:w="160" w:type="dxa"/>
            </w:tcMar>
          </w:tcPr>
          <w:p w14:paraId="1E842B8D"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p-value</w:t>
            </w:r>
          </w:p>
        </w:tc>
        <w:tc>
          <w:tcPr>
            <w:tcW w:w="1485" w:type="dxa"/>
            <w:tcBorders>
              <w:top w:val="nil"/>
              <w:left w:val="nil"/>
              <w:bottom w:val="single" w:sz="3" w:space="0" w:color="000000"/>
              <w:right w:val="nil"/>
            </w:tcBorders>
            <w:tcMar>
              <w:top w:w="80" w:type="dxa"/>
              <w:left w:w="160" w:type="dxa"/>
              <w:bottom w:w="80" w:type="dxa"/>
              <w:right w:w="160" w:type="dxa"/>
            </w:tcMar>
          </w:tcPr>
          <w:p w14:paraId="4F8787A1"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R²</w:t>
            </w:r>
          </w:p>
        </w:tc>
        <w:tc>
          <w:tcPr>
            <w:tcW w:w="1155" w:type="dxa"/>
            <w:tcBorders>
              <w:top w:val="nil"/>
              <w:left w:val="nil"/>
              <w:bottom w:val="single" w:sz="3" w:space="0" w:color="000000"/>
              <w:right w:val="nil"/>
            </w:tcBorders>
            <w:tcMar>
              <w:top w:w="80" w:type="dxa"/>
              <w:left w:w="160" w:type="dxa"/>
              <w:bottom w:w="80" w:type="dxa"/>
              <w:right w:w="160" w:type="dxa"/>
            </w:tcMar>
          </w:tcPr>
          <w:p w14:paraId="1D6B094D"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n</w:t>
            </w:r>
          </w:p>
        </w:tc>
      </w:tr>
      <w:tr w:rsidR="00273C33" w:rsidRPr="005403BF" w14:paraId="729B5638" w14:textId="77777777">
        <w:trPr>
          <w:trHeight w:val="435"/>
        </w:trPr>
        <w:tc>
          <w:tcPr>
            <w:tcW w:w="2310" w:type="dxa"/>
            <w:tcBorders>
              <w:top w:val="nil"/>
              <w:left w:val="nil"/>
              <w:bottom w:val="nil"/>
              <w:right w:val="nil"/>
            </w:tcBorders>
            <w:tcMar>
              <w:top w:w="80" w:type="dxa"/>
              <w:left w:w="160" w:type="dxa"/>
              <w:bottom w:w="80" w:type="dxa"/>
              <w:right w:w="160" w:type="dxa"/>
            </w:tcMar>
          </w:tcPr>
          <w:p w14:paraId="640AAC08" w14:textId="77777777"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PRJNA1071831_Drag</w:t>
            </w:r>
          </w:p>
        </w:tc>
        <w:tc>
          <w:tcPr>
            <w:tcW w:w="1380" w:type="dxa"/>
            <w:tcBorders>
              <w:top w:val="nil"/>
              <w:left w:val="nil"/>
              <w:bottom w:val="nil"/>
              <w:right w:val="nil"/>
            </w:tcBorders>
            <w:tcMar>
              <w:top w:w="80" w:type="dxa"/>
              <w:left w:w="160" w:type="dxa"/>
              <w:bottom w:w="80" w:type="dxa"/>
              <w:right w:w="160" w:type="dxa"/>
            </w:tcMar>
          </w:tcPr>
          <w:p w14:paraId="087690FE"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4.2</w:t>
            </w:r>
          </w:p>
        </w:tc>
        <w:tc>
          <w:tcPr>
            <w:tcW w:w="1035" w:type="dxa"/>
            <w:tcBorders>
              <w:top w:val="nil"/>
              <w:left w:val="nil"/>
              <w:bottom w:val="nil"/>
              <w:right w:val="nil"/>
            </w:tcBorders>
            <w:tcMar>
              <w:top w:w="80" w:type="dxa"/>
              <w:left w:w="160" w:type="dxa"/>
              <w:bottom w:w="80" w:type="dxa"/>
              <w:right w:w="160" w:type="dxa"/>
            </w:tcMar>
          </w:tcPr>
          <w:p w14:paraId="47A50AD5"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0.958</w:t>
            </w:r>
          </w:p>
        </w:tc>
        <w:tc>
          <w:tcPr>
            <w:tcW w:w="1485" w:type="dxa"/>
            <w:tcBorders>
              <w:top w:val="nil"/>
              <w:left w:val="nil"/>
              <w:bottom w:val="nil"/>
              <w:right w:val="nil"/>
            </w:tcBorders>
            <w:tcMar>
              <w:top w:w="80" w:type="dxa"/>
              <w:left w:w="160" w:type="dxa"/>
              <w:bottom w:w="80" w:type="dxa"/>
              <w:right w:w="160" w:type="dxa"/>
            </w:tcMar>
          </w:tcPr>
          <w:p w14:paraId="219D6DD0"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0.686</w:t>
            </w:r>
          </w:p>
        </w:tc>
        <w:tc>
          <w:tcPr>
            <w:tcW w:w="1155" w:type="dxa"/>
            <w:tcBorders>
              <w:top w:val="nil"/>
              <w:left w:val="nil"/>
              <w:bottom w:val="nil"/>
              <w:right w:val="nil"/>
            </w:tcBorders>
            <w:tcMar>
              <w:top w:w="80" w:type="dxa"/>
              <w:left w:w="160" w:type="dxa"/>
              <w:bottom w:w="80" w:type="dxa"/>
              <w:right w:w="160" w:type="dxa"/>
            </w:tcMar>
          </w:tcPr>
          <w:p w14:paraId="2F8A95A3"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11</w:t>
            </w:r>
          </w:p>
        </w:tc>
      </w:tr>
      <w:tr w:rsidR="00273C33" w:rsidRPr="005403BF" w14:paraId="4813C0A2" w14:textId="77777777">
        <w:trPr>
          <w:trHeight w:val="435"/>
        </w:trPr>
        <w:tc>
          <w:tcPr>
            <w:tcW w:w="2310" w:type="dxa"/>
            <w:tcBorders>
              <w:top w:val="single" w:sz="3" w:space="0" w:color="000000"/>
              <w:left w:val="nil"/>
              <w:bottom w:val="nil"/>
              <w:right w:val="nil"/>
            </w:tcBorders>
            <w:tcMar>
              <w:top w:w="80" w:type="dxa"/>
              <w:left w:w="160" w:type="dxa"/>
              <w:bottom w:w="80" w:type="dxa"/>
              <w:right w:w="160" w:type="dxa"/>
            </w:tcMar>
          </w:tcPr>
          <w:p w14:paraId="4C479189" w14:textId="77777777"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PRJNA1071831_Mech</w:t>
            </w:r>
          </w:p>
        </w:tc>
        <w:tc>
          <w:tcPr>
            <w:tcW w:w="1380" w:type="dxa"/>
            <w:tcBorders>
              <w:top w:val="single" w:sz="3" w:space="0" w:color="000000"/>
              <w:left w:val="nil"/>
              <w:bottom w:val="nil"/>
              <w:right w:val="nil"/>
            </w:tcBorders>
            <w:tcMar>
              <w:top w:w="80" w:type="dxa"/>
              <w:left w:w="160" w:type="dxa"/>
              <w:bottom w:w="80" w:type="dxa"/>
              <w:right w:w="160" w:type="dxa"/>
            </w:tcMar>
          </w:tcPr>
          <w:p w14:paraId="70A723E3"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20.8</w:t>
            </w:r>
          </w:p>
        </w:tc>
        <w:tc>
          <w:tcPr>
            <w:tcW w:w="1035" w:type="dxa"/>
            <w:tcBorders>
              <w:top w:val="single" w:sz="3" w:space="0" w:color="000000"/>
              <w:left w:val="nil"/>
              <w:bottom w:val="nil"/>
              <w:right w:val="nil"/>
            </w:tcBorders>
            <w:tcMar>
              <w:top w:w="80" w:type="dxa"/>
              <w:left w:w="160" w:type="dxa"/>
              <w:bottom w:w="80" w:type="dxa"/>
              <w:right w:w="160" w:type="dxa"/>
            </w:tcMar>
          </w:tcPr>
          <w:p w14:paraId="5718A39D"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0.524</w:t>
            </w:r>
          </w:p>
        </w:tc>
        <w:tc>
          <w:tcPr>
            <w:tcW w:w="1485" w:type="dxa"/>
            <w:tcBorders>
              <w:top w:val="single" w:sz="3" w:space="0" w:color="000000"/>
              <w:left w:val="nil"/>
              <w:bottom w:val="nil"/>
              <w:right w:val="nil"/>
            </w:tcBorders>
            <w:tcMar>
              <w:top w:w="80" w:type="dxa"/>
              <w:left w:w="160" w:type="dxa"/>
              <w:bottom w:w="80" w:type="dxa"/>
              <w:right w:w="160" w:type="dxa"/>
            </w:tcMar>
          </w:tcPr>
          <w:p w14:paraId="6749AA74"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0.759</w:t>
            </w:r>
          </w:p>
        </w:tc>
        <w:tc>
          <w:tcPr>
            <w:tcW w:w="1155" w:type="dxa"/>
            <w:tcBorders>
              <w:top w:val="single" w:sz="3" w:space="0" w:color="000000"/>
              <w:left w:val="nil"/>
              <w:bottom w:val="nil"/>
              <w:right w:val="nil"/>
            </w:tcBorders>
            <w:tcMar>
              <w:top w:w="80" w:type="dxa"/>
              <w:left w:w="160" w:type="dxa"/>
              <w:bottom w:w="80" w:type="dxa"/>
              <w:right w:w="160" w:type="dxa"/>
            </w:tcMar>
          </w:tcPr>
          <w:p w14:paraId="101D1DFA"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11</w:t>
            </w:r>
          </w:p>
        </w:tc>
      </w:tr>
      <w:tr w:rsidR="00273C33" w:rsidRPr="005403BF" w14:paraId="0256E62A" w14:textId="77777777">
        <w:trPr>
          <w:trHeight w:val="435"/>
        </w:trPr>
        <w:tc>
          <w:tcPr>
            <w:tcW w:w="2310" w:type="dxa"/>
            <w:tcBorders>
              <w:top w:val="single" w:sz="3" w:space="0" w:color="000000"/>
              <w:left w:val="nil"/>
              <w:bottom w:val="nil"/>
              <w:right w:val="nil"/>
            </w:tcBorders>
            <w:tcMar>
              <w:top w:w="80" w:type="dxa"/>
              <w:left w:w="160" w:type="dxa"/>
              <w:bottom w:w="80" w:type="dxa"/>
              <w:right w:w="160" w:type="dxa"/>
            </w:tcMar>
          </w:tcPr>
          <w:p w14:paraId="38D1E543" w14:textId="77777777"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PRJNA599167_WGA</w:t>
            </w:r>
          </w:p>
        </w:tc>
        <w:tc>
          <w:tcPr>
            <w:tcW w:w="1380" w:type="dxa"/>
            <w:tcBorders>
              <w:top w:val="single" w:sz="3" w:space="0" w:color="000000"/>
              <w:left w:val="nil"/>
              <w:bottom w:val="nil"/>
              <w:right w:val="nil"/>
            </w:tcBorders>
            <w:tcMar>
              <w:top w:w="80" w:type="dxa"/>
              <w:left w:w="160" w:type="dxa"/>
              <w:bottom w:w="80" w:type="dxa"/>
              <w:right w:w="160" w:type="dxa"/>
            </w:tcMar>
          </w:tcPr>
          <w:p w14:paraId="67551015"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31.8</w:t>
            </w:r>
          </w:p>
        </w:tc>
        <w:tc>
          <w:tcPr>
            <w:tcW w:w="1035" w:type="dxa"/>
            <w:tcBorders>
              <w:top w:val="single" w:sz="3" w:space="0" w:color="000000"/>
              <w:left w:val="nil"/>
              <w:bottom w:val="nil"/>
              <w:right w:val="nil"/>
            </w:tcBorders>
            <w:tcMar>
              <w:top w:w="80" w:type="dxa"/>
              <w:left w:w="160" w:type="dxa"/>
              <w:bottom w:w="80" w:type="dxa"/>
              <w:right w:w="160" w:type="dxa"/>
            </w:tcMar>
          </w:tcPr>
          <w:p w14:paraId="4556E02D"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0.670</w:t>
            </w:r>
          </w:p>
        </w:tc>
        <w:tc>
          <w:tcPr>
            <w:tcW w:w="1485" w:type="dxa"/>
            <w:tcBorders>
              <w:top w:val="single" w:sz="3" w:space="0" w:color="000000"/>
              <w:left w:val="nil"/>
              <w:bottom w:val="nil"/>
              <w:right w:val="nil"/>
            </w:tcBorders>
            <w:tcMar>
              <w:top w:w="80" w:type="dxa"/>
              <w:left w:w="160" w:type="dxa"/>
              <w:bottom w:w="80" w:type="dxa"/>
              <w:right w:w="160" w:type="dxa"/>
            </w:tcMar>
          </w:tcPr>
          <w:p w14:paraId="30E3036D"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0.358</w:t>
            </w:r>
          </w:p>
        </w:tc>
        <w:tc>
          <w:tcPr>
            <w:tcW w:w="1155" w:type="dxa"/>
            <w:tcBorders>
              <w:top w:val="single" w:sz="3" w:space="0" w:color="000000"/>
              <w:left w:val="nil"/>
              <w:bottom w:val="nil"/>
              <w:right w:val="nil"/>
            </w:tcBorders>
            <w:tcMar>
              <w:top w:w="80" w:type="dxa"/>
              <w:left w:w="160" w:type="dxa"/>
              <w:bottom w:w="80" w:type="dxa"/>
              <w:right w:w="160" w:type="dxa"/>
            </w:tcMar>
          </w:tcPr>
          <w:p w14:paraId="100747B7"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6</w:t>
            </w:r>
          </w:p>
        </w:tc>
      </w:tr>
    </w:tbl>
    <w:p w14:paraId="5AC892F4" w14:textId="77777777" w:rsidR="00273C33" w:rsidRPr="005403BF" w:rsidRDefault="00D441EA" w:rsidP="00F204DA">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MGE is non-significant in all three variants (p = 0.958, 0.524, 0.670). Excluding WGA causes R² to drop from 0.720 to 0.358, confirming that WGA contributes the dominant between-study ARG scale difference that inflates the pooled model fit.</w:t>
      </w:r>
    </w:p>
    <w:p w14:paraId="683F3571" w14:textId="77777777" w:rsidR="002B159D" w:rsidRDefault="002B159D" w:rsidP="005403BF">
      <w:pPr>
        <w:spacing w:line="240" w:lineRule="auto"/>
        <w:rPr>
          <w:rFonts w:ascii="Times New Roman" w:hAnsi="Times New Roman" w:cs="Times New Roman"/>
          <w:b/>
          <w:bCs/>
          <w:sz w:val="21"/>
          <w:szCs w:val="21"/>
        </w:rPr>
      </w:pPr>
    </w:p>
    <w:p w14:paraId="1A4A446A" w14:textId="67A2B679" w:rsidR="00273C33" w:rsidRPr="005403BF" w:rsidRDefault="00D441EA" w:rsidP="005403BF">
      <w:pPr>
        <w:spacing w:line="240" w:lineRule="auto"/>
        <w:rPr>
          <w:b/>
          <w:bCs/>
        </w:rPr>
      </w:pPr>
      <w:r w:rsidRPr="005403BF">
        <w:rPr>
          <w:b/>
          <w:bCs/>
        </w:rPr>
        <w:t>3.6. Calibration Simulation: Null vs. True Signal Scenarios</w:t>
      </w:r>
    </w:p>
    <w:p w14:paraId="2E2F5466" w14:textId="77777777" w:rsidR="00273C33" w:rsidRPr="005403BF" w:rsidRDefault="00D441EA" w:rsidP="00F204DA">
      <w:pPr>
        <w:spacing w:line="240" w:lineRule="auto"/>
        <w:ind w:firstLine="360"/>
        <w:rPr>
          <w:rFonts w:ascii="Times New Roman" w:eastAsia="Times New Roman" w:hAnsi="Times New Roman" w:cs="Times New Roman"/>
        </w:rPr>
      </w:pPr>
      <w:r w:rsidRPr="005403BF">
        <w:rPr>
          <w:rFonts w:ascii="Times New Roman" w:eastAsia="Times New Roman" w:hAnsi="Times New Roman" w:cs="Times New Roman"/>
        </w:rPr>
        <w:lastRenderedPageBreak/>
        <w:t>To directly address whether the diagnostic framework can distinguish genuine predictive signal from confounding, we ran 2,000 simulations under two scenarios using the same study structure (WGA: n=10 pairs; Drag: n=3; Mech: n=3; ARG baselines calibrated to real data):</w:t>
      </w:r>
    </w:p>
    <w:p w14:paraId="68C5A83E" w14:textId="77777777" w:rsidR="00273C33" w:rsidRPr="005403BF" w:rsidRDefault="00D441EA" w:rsidP="005403BF">
      <w:pPr>
        <w:numPr>
          <w:ilvl w:val="0"/>
          <w:numId w:val="1"/>
        </w:numPr>
        <w:spacing w:line="240" w:lineRule="auto"/>
        <w:rPr>
          <w:rFonts w:ascii="Times New Roman" w:hAnsi="Times New Roman" w:cs="Times New Roman"/>
          <w:color w:val="000000"/>
        </w:rPr>
      </w:pPr>
      <w:r w:rsidRPr="005403BF">
        <w:rPr>
          <w:rFonts w:ascii="Times New Roman" w:eastAsia="Times New Roman" w:hAnsi="Times New Roman" w:cs="Times New Roman"/>
        </w:rPr>
        <w:t>Scenario A (null): MGE drawn independently of future ARG (beta=0). No true predictive signal.</w:t>
      </w:r>
    </w:p>
    <w:p w14:paraId="440A19B5" w14:textId="11A4C6AC" w:rsidR="00273C33" w:rsidRPr="005403BF" w:rsidRDefault="00D441EA" w:rsidP="005403BF">
      <w:pPr>
        <w:numPr>
          <w:ilvl w:val="0"/>
          <w:numId w:val="1"/>
        </w:numPr>
        <w:spacing w:line="240" w:lineRule="auto"/>
        <w:rPr>
          <w:rFonts w:ascii="Times New Roman" w:hAnsi="Times New Roman" w:cs="Times New Roman"/>
          <w:color w:val="000000"/>
        </w:rPr>
      </w:pPr>
      <w:r w:rsidRPr="005403BF">
        <w:rPr>
          <w:rFonts w:ascii="Times New Roman" w:eastAsia="Times New Roman" w:hAnsi="Times New Roman" w:cs="Times New Roman"/>
        </w:rPr>
        <w:t xml:space="preserve">Scenario B (true signal): ARG(t+1) = </w:t>
      </w:r>
      <w:proofErr w:type="spellStart"/>
      <w:r w:rsidRPr="005403BF">
        <w:rPr>
          <w:rFonts w:ascii="Times New Roman" w:eastAsia="Times New Roman" w:hAnsi="Times New Roman" w:cs="Times New Roman"/>
        </w:rPr>
        <w:t>study_baseline</w:t>
      </w:r>
      <w:proofErr w:type="spellEnd"/>
      <w:r w:rsidRPr="005403BF">
        <w:rPr>
          <w:rFonts w:ascii="Times New Roman" w:eastAsia="Times New Roman" w:hAnsi="Times New Roman" w:cs="Times New Roman"/>
        </w:rPr>
        <w:t xml:space="preserve"> + 150·MGE(t) + noise. A true causal effect of realistic magnitude.</w:t>
      </w:r>
    </w:p>
    <w:p w14:paraId="528909B9" w14:textId="77777777" w:rsidR="00273C33" w:rsidRPr="005403BF" w:rsidRDefault="00273C33" w:rsidP="005403BF">
      <w:pPr>
        <w:spacing w:line="240" w:lineRule="auto"/>
        <w:jc w:val="center"/>
        <w:rPr>
          <w:rFonts w:ascii="Times New Roman" w:eastAsia="Times New Roman" w:hAnsi="Times New Roman" w:cs="Times New Roman"/>
          <w:i/>
          <w:iCs/>
          <w:sz w:val="20"/>
          <w:szCs w:val="20"/>
        </w:rPr>
      </w:pPr>
    </w:p>
    <w:p w14:paraId="6E46EE4C" w14:textId="77777777"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Table 5: Two-scenario simulation results (N=2,000 synthetic datasets each).</w:t>
      </w:r>
    </w:p>
    <w:tbl>
      <w:tblPr>
        <w:tblStyle w:val="a3"/>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1380"/>
        <w:gridCol w:w="2565"/>
        <w:gridCol w:w="1830"/>
      </w:tblGrid>
      <w:tr w:rsidR="00273C33" w:rsidRPr="005403BF" w14:paraId="61B2B787" w14:textId="77777777">
        <w:trPr>
          <w:trHeight w:val="720"/>
        </w:trPr>
        <w:tc>
          <w:tcPr>
            <w:tcW w:w="3180" w:type="dxa"/>
            <w:tcBorders>
              <w:top w:val="nil"/>
              <w:left w:val="nil"/>
              <w:bottom w:val="single" w:sz="3" w:space="0" w:color="000000"/>
              <w:right w:val="nil"/>
            </w:tcBorders>
            <w:tcMar>
              <w:top w:w="80" w:type="dxa"/>
              <w:left w:w="160" w:type="dxa"/>
              <w:bottom w:w="80" w:type="dxa"/>
              <w:right w:w="160" w:type="dxa"/>
            </w:tcMar>
          </w:tcPr>
          <w:p w14:paraId="3230CF9F" w14:textId="77777777"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Metric</w:t>
            </w:r>
          </w:p>
        </w:tc>
        <w:tc>
          <w:tcPr>
            <w:tcW w:w="1380" w:type="dxa"/>
            <w:tcBorders>
              <w:top w:val="nil"/>
              <w:left w:val="nil"/>
              <w:bottom w:val="single" w:sz="3" w:space="0" w:color="000000"/>
              <w:right w:val="nil"/>
            </w:tcBorders>
            <w:tcMar>
              <w:top w:w="80" w:type="dxa"/>
              <w:left w:w="160" w:type="dxa"/>
              <w:bottom w:w="80" w:type="dxa"/>
              <w:right w:w="160" w:type="dxa"/>
            </w:tcMar>
          </w:tcPr>
          <w:p w14:paraId="1599E3E7"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Scenario A (null, β=0)</w:t>
            </w:r>
          </w:p>
        </w:tc>
        <w:tc>
          <w:tcPr>
            <w:tcW w:w="2565" w:type="dxa"/>
            <w:tcBorders>
              <w:top w:val="nil"/>
              <w:left w:val="nil"/>
              <w:bottom w:val="single" w:sz="3" w:space="0" w:color="000000"/>
              <w:right w:val="nil"/>
            </w:tcBorders>
            <w:tcMar>
              <w:top w:w="80" w:type="dxa"/>
              <w:left w:w="160" w:type="dxa"/>
              <w:bottom w:w="80" w:type="dxa"/>
              <w:right w:w="160" w:type="dxa"/>
            </w:tcMar>
          </w:tcPr>
          <w:p w14:paraId="4BC8BFED" w14:textId="77777777" w:rsidR="00273C33" w:rsidRPr="005403BF" w:rsidRDefault="00D441EA" w:rsidP="005403BF">
            <w:pPr>
              <w:spacing w:line="240" w:lineRule="auto"/>
              <w:jc w:val="right"/>
              <w:rPr>
                <w:rFonts w:ascii="Times New Roman" w:eastAsia="Times New Roman" w:hAnsi="Times New Roman" w:cs="Times New Roman"/>
                <w:lang w:val="it-IT"/>
              </w:rPr>
            </w:pPr>
            <w:r w:rsidRPr="005403BF">
              <w:rPr>
                <w:rFonts w:ascii="Times New Roman" w:eastAsia="Times New Roman" w:hAnsi="Times New Roman" w:cs="Times New Roman"/>
                <w:lang w:val="it-IT"/>
              </w:rPr>
              <w:t xml:space="preserve">Scenario B (true signal, </w:t>
            </w:r>
            <w:r w:rsidRPr="005403BF">
              <w:rPr>
                <w:rFonts w:ascii="Times New Roman" w:eastAsia="Times New Roman" w:hAnsi="Times New Roman" w:cs="Times New Roman"/>
              </w:rPr>
              <w:t>β</w:t>
            </w:r>
            <w:r w:rsidRPr="005403BF">
              <w:rPr>
                <w:rFonts w:ascii="Times New Roman" w:eastAsia="Times New Roman" w:hAnsi="Times New Roman" w:cs="Times New Roman"/>
                <w:lang w:val="it-IT"/>
              </w:rPr>
              <w:t>=150)</w:t>
            </w:r>
          </w:p>
        </w:tc>
        <w:tc>
          <w:tcPr>
            <w:tcW w:w="1830" w:type="dxa"/>
            <w:tcBorders>
              <w:top w:val="nil"/>
              <w:left w:val="nil"/>
              <w:bottom w:val="single" w:sz="3" w:space="0" w:color="000000"/>
              <w:right w:val="nil"/>
            </w:tcBorders>
            <w:tcMar>
              <w:top w:w="80" w:type="dxa"/>
              <w:left w:w="160" w:type="dxa"/>
              <w:bottom w:w="80" w:type="dxa"/>
              <w:right w:w="160" w:type="dxa"/>
            </w:tcMar>
          </w:tcPr>
          <w:p w14:paraId="6F77CAF9" w14:textId="77777777" w:rsidR="00273C33" w:rsidRPr="005403BF" w:rsidRDefault="00D441EA" w:rsidP="005403BF">
            <w:pPr>
              <w:spacing w:line="240" w:lineRule="auto"/>
              <w:jc w:val="right"/>
              <w:rPr>
                <w:rFonts w:ascii="Times New Roman" w:eastAsia="Times New Roman" w:hAnsi="Times New Roman" w:cs="Times New Roman"/>
              </w:rPr>
            </w:pPr>
            <w:r w:rsidRPr="005403BF">
              <w:rPr>
                <w:rFonts w:ascii="Times New Roman" w:eastAsia="Times New Roman" w:hAnsi="Times New Roman" w:cs="Times New Roman"/>
              </w:rPr>
              <w:t>Observed real data</w:t>
            </w:r>
          </w:p>
        </w:tc>
      </w:tr>
      <w:tr w:rsidR="00273C33" w:rsidRPr="005403BF" w14:paraId="44D47461" w14:textId="77777777">
        <w:trPr>
          <w:trHeight w:val="435"/>
        </w:trPr>
        <w:tc>
          <w:tcPr>
            <w:tcW w:w="3180" w:type="dxa"/>
            <w:tcBorders>
              <w:top w:val="nil"/>
              <w:left w:val="nil"/>
              <w:bottom w:val="nil"/>
              <w:right w:val="nil"/>
            </w:tcBorders>
            <w:tcMar>
              <w:top w:w="80" w:type="dxa"/>
              <w:left w:w="160" w:type="dxa"/>
              <w:bottom w:w="80" w:type="dxa"/>
              <w:right w:w="160" w:type="dxa"/>
            </w:tcMar>
          </w:tcPr>
          <w:p w14:paraId="2037A6AA"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Naive model R² median</w:t>
            </w:r>
          </w:p>
        </w:tc>
        <w:tc>
          <w:tcPr>
            <w:tcW w:w="1380" w:type="dxa"/>
            <w:tcBorders>
              <w:top w:val="nil"/>
              <w:left w:val="nil"/>
              <w:bottom w:val="nil"/>
              <w:right w:val="nil"/>
            </w:tcBorders>
            <w:tcMar>
              <w:top w:w="80" w:type="dxa"/>
              <w:left w:w="160" w:type="dxa"/>
              <w:bottom w:w="80" w:type="dxa"/>
              <w:right w:w="160" w:type="dxa"/>
            </w:tcMar>
          </w:tcPr>
          <w:p w14:paraId="12017B76"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0.856</w:t>
            </w:r>
          </w:p>
        </w:tc>
        <w:tc>
          <w:tcPr>
            <w:tcW w:w="2565" w:type="dxa"/>
            <w:tcBorders>
              <w:top w:val="nil"/>
              <w:left w:val="nil"/>
              <w:bottom w:val="nil"/>
              <w:right w:val="nil"/>
            </w:tcBorders>
            <w:tcMar>
              <w:top w:w="80" w:type="dxa"/>
              <w:left w:w="160" w:type="dxa"/>
              <w:bottom w:w="80" w:type="dxa"/>
              <w:right w:w="160" w:type="dxa"/>
            </w:tcMar>
          </w:tcPr>
          <w:p w14:paraId="5DEA1E14"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0.940</w:t>
            </w:r>
          </w:p>
        </w:tc>
        <w:tc>
          <w:tcPr>
            <w:tcW w:w="1830" w:type="dxa"/>
            <w:tcBorders>
              <w:top w:val="nil"/>
              <w:left w:val="nil"/>
              <w:bottom w:val="nil"/>
              <w:right w:val="nil"/>
            </w:tcBorders>
            <w:tcMar>
              <w:top w:w="80" w:type="dxa"/>
              <w:left w:w="160" w:type="dxa"/>
              <w:bottom w:w="80" w:type="dxa"/>
              <w:right w:w="160" w:type="dxa"/>
            </w:tcMar>
          </w:tcPr>
          <w:p w14:paraId="7990D8A7"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0.720</w:t>
            </w:r>
          </w:p>
        </w:tc>
      </w:tr>
      <w:tr w:rsidR="00273C33" w:rsidRPr="005403BF" w14:paraId="6C8A4DCA" w14:textId="77777777">
        <w:trPr>
          <w:trHeight w:val="720"/>
        </w:trPr>
        <w:tc>
          <w:tcPr>
            <w:tcW w:w="3180" w:type="dxa"/>
            <w:tcBorders>
              <w:top w:val="single" w:sz="3" w:space="0" w:color="000000"/>
              <w:left w:val="nil"/>
              <w:bottom w:val="nil"/>
              <w:right w:val="nil"/>
            </w:tcBorders>
            <w:tcMar>
              <w:top w:w="80" w:type="dxa"/>
              <w:left w:w="160" w:type="dxa"/>
              <w:bottom w:w="80" w:type="dxa"/>
              <w:right w:w="160" w:type="dxa"/>
            </w:tcMar>
          </w:tcPr>
          <w:p w14:paraId="258194DE"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 naive runs with R² &gt; 0.70</w:t>
            </w:r>
          </w:p>
        </w:tc>
        <w:tc>
          <w:tcPr>
            <w:tcW w:w="1380" w:type="dxa"/>
            <w:tcBorders>
              <w:top w:val="single" w:sz="3" w:space="0" w:color="000000"/>
              <w:left w:val="nil"/>
              <w:bottom w:val="nil"/>
              <w:right w:val="nil"/>
            </w:tcBorders>
            <w:tcMar>
              <w:top w:w="80" w:type="dxa"/>
              <w:left w:w="160" w:type="dxa"/>
              <w:bottom w:w="80" w:type="dxa"/>
              <w:right w:w="160" w:type="dxa"/>
            </w:tcMar>
          </w:tcPr>
          <w:p w14:paraId="7738C423"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94%</w:t>
            </w:r>
          </w:p>
        </w:tc>
        <w:tc>
          <w:tcPr>
            <w:tcW w:w="2565" w:type="dxa"/>
            <w:tcBorders>
              <w:top w:val="single" w:sz="3" w:space="0" w:color="000000"/>
              <w:left w:val="nil"/>
              <w:bottom w:val="nil"/>
              <w:right w:val="nil"/>
            </w:tcBorders>
            <w:tcMar>
              <w:top w:w="80" w:type="dxa"/>
              <w:left w:w="160" w:type="dxa"/>
              <w:bottom w:w="80" w:type="dxa"/>
              <w:right w:w="160" w:type="dxa"/>
            </w:tcMar>
          </w:tcPr>
          <w:p w14:paraId="57C97B75"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99%</w:t>
            </w:r>
          </w:p>
        </w:tc>
        <w:tc>
          <w:tcPr>
            <w:tcW w:w="1830" w:type="dxa"/>
            <w:tcBorders>
              <w:top w:val="single" w:sz="3" w:space="0" w:color="000000"/>
              <w:left w:val="nil"/>
              <w:bottom w:val="nil"/>
              <w:right w:val="nil"/>
            </w:tcBorders>
            <w:tcMar>
              <w:top w:w="80" w:type="dxa"/>
              <w:left w:w="160" w:type="dxa"/>
              <w:bottom w:w="80" w:type="dxa"/>
              <w:right w:w="160" w:type="dxa"/>
            </w:tcMar>
          </w:tcPr>
          <w:p w14:paraId="6792245F"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w:t>
            </w:r>
          </w:p>
        </w:tc>
      </w:tr>
      <w:tr w:rsidR="00273C33" w:rsidRPr="005403BF" w14:paraId="3BC93146" w14:textId="77777777">
        <w:trPr>
          <w:trHeight w:val="720"/>
        </w:trPr>
        <w:tc>
          <w:tcPr>
            <w:tcW w:w="3180" w:type="dxa"/>
            <w:tcBorders>
              <w:top w:val="single" w:sz="3" w:space="0" w:color="000000"/>
              <w:left w:val="nil"/>
              <w:bottom w:val="nil"/>
              <w:right w:val="nil"/>
            </w:tcBorders>
            <w:tcMar>
              <w:top w:w="80" w:type="dxa"/>
              <w:left w:w="160" w:type="dxa"/>
              <w:bottom w:w="80" w:type="dxa"/>
              <w:right w:w="160" w:type="dxa"/>
            </w:tcMar>
          </w:tcPr>
          <w:p w14:paraId="10D73333"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 naive runs with MGE p &lt; 0.05</w:t>
            </w:r>
          </w:p>
        </w:tc>
        <w:tc>
          <w:tcPr>
            <w:tcW w:w="1380" w:type="dxa"/>
            <w:tcBorders>
              <w:top w:val="single" w:sz="3" w:space="0" w:color="000000"/>
              <w:left w:val="nil"/>
              <w:bottom w:val="nil"/>
              <w:right w:val="nil"/>
            </w:tcBorders>
            <w:tcMar>
              <w:top w:w="80" w:type="dxa"/>
              <w:left w:w="160" w:type="dxa"/>
              <w:bottom w:w="80" w:type="dxa"/>
              <w:right w:w="160" w:type="dxa"/>
            </w:tcMar>
          </w:tcPr>
          <w:p w14:paraId="2AD3E5E6"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11%</w:t>
            </w:r>
          </w:p>
        </w:tc>
        <w:tc>
          <w:tcPr>
            <w:tcW w:w="2565" w:type="dxa"/>
            <w:tcBorders>
              <w:top w:val="single" w:sz="3" w:space="0" w:color="000000"/>
              <w:left w:val="nil"/>
              <w:bottom w:val="nil"/>
              <w:right w:val="nil"/>
            </w:tcBorders>
            <w:tcMar>
              <w:top w:w="80" w:type="dxa"/>
              <w:left w:w="160" w:type="dxa"/>
              <w:bottom w:w="80" w:type="dxa"/>
              <w:right w:w="160" w:type="dxa"/>
            </w:tcMar>
          </w:tcPr>
          <w:p w14:paraId="1E276F24"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90%</w:t>
            </w:r>
          </w:p>
        </w:tc>
        <w:tc>
          <w:tcPr>
            <w:tcW w:w="1830" w:type="dxa"/>
            <w:tcBorders>
              <w:top w:val="single" w:sz="3" w:space="0" w:color="000000"/>
              <w:left w:val="nil"/>
              <w:bottom w:val="nil"/>
              <w:right w:val="nil"/>
            </w:tcBorders>
            <w:tcMar>
              <w:top w:w="80" w:type="dxa"/>
              <w:left w:w="160" w:type="dxa"/>
              <w:bottom w:w="80" w:type="dxa"/>
              <w:right w:w="160" w:type="dxa"/>
            </w:tcMar>
          </w:tcPr>
          <w:p w14:paraId="69DF6F99"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p=0.579</w:t>
            </w:r>
          </w:p>
        </w:tc>
      </w:tr>
      <w:tr w:rsidR="00273C33" w:rsidRPr="005403BF" w14:paraId="09315154" w14:textId="77777777">
        <w:trPr>
          <w:trHeight w:val="720"/>
        </w:trPr>
        <w:tc>
          <w:tcPr>
            <w:tcW w:w="3180" w:type="dxa"/>
            <w:tcBorders>
              <w:top w:val="single" w:sz="3" w:space="0" w:color="000000"/>
              <w:left w:val="nil"/>
              <w:bottom w:val="nil"/>
              <w:right w:val="nil"/>
            </w:tcBorders>
            <w:tcMar>
              <w:top w:w="80" w:type="dxa"/>
              <w:left w:w="160" w:type="dxa"/>
              <w:bottom w:w="80" w:type="dxa"/>
              <w:right w:w="160" w:type="dxa"/>
            </w:tcMar>
          </w:tcPr>
          <w:p w14:paraId="30742B77"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Differenced model R² median</w:t>
            </w:r>
          </w:p>
        </w:tc>
        <w:tc>
          <w:tcPr>
            <w:tcW w:w="1380" w:type="dxa"/>
            <w:tcBorders>
              <w:top w:val="single" w:sz="3" w:space="0" w:color="000000"/>
              <w:left w:val="nil"/>
              <w:bottom w:val="nil"/>
              <w:right w:val="nil"/>
            </w:tcBorders>
            <w:tcMar>
              <w:top w:w="80" w:type="dxa"/>
              <w:left w:w="160" w:type="dxa"/>
              <w:bottom w:w="80" w:type="dxa"/>
              <w:right w:w="160" w:type="dxa"/>
            </w:tcMar>
          </w:tcPr>
          <w:p w14:paraId="73B43052"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0.070</w:t>
            </w:r>
          </w:p>
        </w:tc>
        <w:tc>
          <w:tcPr>
            <w:tcW w:w="2565" w:type="dxa"/>
            <w:tcBorders>
              <w:top w:val="single" w:sz="3" w:space="0" w:color="000000"/>
              <w:left w:val="nil"/>
              <w:bottom w:val="nil"/>
              <w:right w:val="nil"/>
            </w:tcBorders>
            <w:tcMar>
              <w:top w:w="80" w:type="dxa"/>
              <w:left w:w="160" w:type="dxa"/>
              <w:bottom w:w="80" w:type="dxa"/>
              <w:right w:w="160" w:type="dxa"/>
            </w:tcMar>
          </w:tcPr>
          <w:p w14:paraId="62AEAD8D"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0.692</w:t>
            </w:r>
          </w:p>
        </w:tc>
        <w:tc>
          <w:tcPr>
            <w:tcW w:w="1830" w:type="dxa"/>
            <w:tcBorders>
              <w:top w:val="single" w:sz="3" w:space="0" w:color="000000"/>
              <w:left w:val="nil"/>
              <w:bottom w:val="nil"/>
              <w:right w:val="nil"/>
            </w:tcBorders>
            <w:tcMar>
              <w:top w:w="80" w:type="dxa"/>
              <w:left w:w="160" w:type="dxa"/>
              <w:bottom w:w="80" w:type="dxa"/>
              <w:right w:w="160" w:type="dxa"/>
            </w:tcMar>
          </w:tcPr>
          <w:p w14:paraId="6244EC7D"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0.020</w:t>
            </w:r>
          </w:p>
        </w:tc>
      </w:tr>
      <w:tr w:rsidR="00273C33" w:rsidRPr="005403BF" w14:paraId="59957029" w14:textId="77777777">
        <w:trPr>
          <w:trHeight w:val="720"/>
        </w:trPr>
        <w:tc>
          <w:tcPr>
            <w:tcW w:w="3180" w:type="dxa"/>
            <w:tcBorders>
              <w:top w:val="single" w:sz="3" w:space="0" w:color="000000"/>
              <w:left w:val="nil"/>
              <w:bottom w:val="nil"/>
              <w:right w:val="nil"/>
            </w:tcBorders>
            <w:tcMar>
              <w:top w:w="80" w:type="dxa"/>
              <w:left w:w="160" w:type="dxa"/>
              <w:bottom w:w="80" w:type="dxa"/>
              <w:right w:w="160" w:type="dxa"/>
            </w:tcMar>
          </w:tcPr>
          <w:p w14:paraId="4409B5CB"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 xml:space="preserve">Within-WGA </w:t>
            </w:r>
            <w:proofErr w:type="spellStart"/>
            <w:r w:rsidRPr="005403BF">
              <w:rPr>
                <w:rFonts w:ascii="Times New Roman" w:hAnsi="Times New Roman" w:cs="Times New Roman"/>
              </w:rPr>
              <w:t>coeff</w:t>
            </w:r>
            <w:proofErr w:type="spellEnd"/>
            <w:r w:rsidRPr="005403BF">
              <w:rPr>
                <w:rFonts w:ascii="Times New Roman" w:hAnsi="Times New Roman" w:cs="Times New Roman"/>
              </w:rPr>
              <w:t xml:space="preserve"> median</w:t>
            </w:r>
          </w:p>
        </w:tc>
        <w:tc>
          <w:tcPr>
            <w:tcW w:w="1380" w:type="dxa"/>
            <w:tcBorders>
              <w:top w:val="single" w:sz="3" w:space="0" w:color="000000"/>
              <w:left w:val="nil"/>
              <w:bottom w:val="nil"/>
              <w:right w:val="nil"/>
            </w:tcBorders>
            <w:tcMar>
              <w:top w:w="80" w:type="dxa"/>
              <w:left w:w="160" w:type="dxa"/>
              <w:bottom w:w="80" w:type="dxa"/>
              <w:right w:w="160" w:type="dxa"/>
            </w:tcMar>
          </w:tcPr>
          <w:p w14:paraId="43900204" w14:textId="77777777" w:rsidR="00273C33" w:rsidRPr="005403BF" w:rsidRDefault="00D441EA" w:rsidP="005403BF">
            <w:pPr>
              <w:spacing w:line="240" w:lineRule="auto"/>
              <w:rPr>
                <w:rFonts w:ascii="Times New Roman" w:hAnsi="Times New Roman" w:cs="Times New Roman"/>
              </w:rPr>
            </w:pPr>
            <w:r w:rsidRPr="005403BF">
              <w:rPr>
                <w:rFonts w:ascii="Times New Roman" w:eastAsia="Gungsuh" w:hAnsi="Times New Roman" w:cs="Times New Roman"/>
              </w:rPr>
              <w:t>−0.1</w:t>
            </w:r>
          </w:p>
        </w:tc>
        <w:tc>
          <w:tcPr>
            <w:tcW w:w="2565" w:type="dxa"/>
            <w:tcBorders>
              <w:top w:val="single" w:sz="3" w:space="0" w:color="000000"/>
              <w:left w:val="nil"/>
              <w:bottom w:val="nil"/>
              <w:right w:val="nil"/>
            </w:tcBorders>
            <w:tcMar>
              <w:top w:w="80" w:type="dxa"/>
              <w:left w:w="160" w:type="dxa"/>
              <w:bottom w:w="80" w:type="dxa"/>
              <w:right w:w="160" w:type="dxa"/>
            </w:tcMar>
          </w:tcPr>
          <w:p w14:paraId="06AA220F"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+149</w:t>
            </w:r>
          </w:p>
        </w:tc>
        <w:tc>
          <w:tcPr>
            <w:tcW w:w="1830" w:type="dxa"/>
            <w:tcBorders>
              <w:top w:val="single" w:sz="3" w:space="0" w:color="000000"/>
              <w:left w:val="nil"/>
              <w:bottom w:val="nil"/>
              <w:right w:val="nil"/>
            </w:tcBorders>
            <w:tcMar>
              <w:top w:w="80" w:type="dxa"/>
              <w:left w:w="160" w:type="dxa"/>
              <w:bottom w:w="80" w:type="dxa"/>
              <w:right w:w="160" w:type="dxa"/>
            </w:tcMar>
          </w:tcPr>
          <w:p w14:paraId="47E93B51" w14:textId="77777777" w:rsidR="00273C33" w:rsidRPr="005403BF" w:rsidRDefault="00D441EA" w:rsidP="005403BF">
            <w:pPr>
              <w:spacing w:line="240" w:lineRule="auto"/>
              <w:rPr>
                <w:rFonts w:ascii="Times New Roman" w:hAnsi="Times New Roman" w:cs="Times New Roman"/>
              </w:rPr>
            </w:pPr>
            <w:r w:rsidRPr="005403BF">
              <w:rPr>
                <w:rFonts w:ascii="Times New Roman" w:eastAsia="Gungsuh" w:hAnsi="Times New Roman" w:cs="Times New Roman"/>
              </w:rPr>
              <w:t>−33.0</w:t>
            </w:r>
          </w:p>
        </w:tc>
      </w:tr>
      <w:tr w:rsidR="00273C33" w:rsidRPr="005403BF" w14:paraId="1730B718" w14:textId="77777777">
        <w:trPr>
          <w:trHeight w:val="720"/>
        </w:trPr>
        <w:tc>
          <w:tcPr>
            <w:tcW w:w="3180" w:type="dxa"/>
            <w:tcBorders>
              <w:top w:val="single" w:sz="3" w:space="0" w:color="000000"/>
              <w:left w:val="nil"/>
              <w:bottom w:val="nil"/>
              <w:right w:val="nil"/>
            </w:tcBorders>
            <w:tcMar>
              <w:top w:w="80" w:type="dxa"/>
              <w:left w:w="160" w:type="dxa"/>
              <w:bottom w:w="80" w:type="dxa"/>
              <w:right w:w="160" w:type="dxa"/>
            </w:tcMar>
          </w:tcPr>
          <w:p w14:paraId="54FCB7A6"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 xml:space="preserve">% within-WGA </w:t>
            </w:r>
            <w:proofErr w:type="spellStart"/>
            <w:r w:rsidRPr="005403BF">
              <w:rPr>
                <w:rFonts w:ascii="Times New Roman" w:hAnsi="Times New Roman" w:cs="Times New Roman"/>
              </w:rPr>
              <w:t>coeff</w:t>
            </w:r>
            <w:proofErr w:type="spellEnd"/>
            <w:r w:rsidRPr="005403BF">
              <w:rPr>
                <w:rFonts w:ascii="Times New Roman" w:hAnsi="Times New Roman" w:cs="Times New Roman"/>
              </w:rPr>
              <w:t xml:space="preserve"> positive</w:t>
            </w:r>
          </w:p>
        </w:tc>
        <w:tc>
          <w:tcPr>
            <w:tcW w:w="1380" w:type="dxa"/>
            <w:tcBorders>
              <w:top w:val="single" w:sz="3" w:space="0" w:color="000000"/>
              <w:left w:val="nil"/>
              <w:bottom w:val="nil"/>
              <w:right w:val="nil"/>
            </w:tcBorders>
            <w:tcMar>
              <w:top w:w="80" w:type="dxa"/>
              <w:left w:w="160" w:type="dxa"/>
              <w:bottom w:w="80" w:type="dxa"/>
              <w:right w:w="160" w:type="dxa"/>
            </w:tcMar>
          </w:tcPr>
          <w:p w14:paraId="7E1E4493"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50%</w:t>
            </w:r>
          </w:p>
        </w:tc>
        <w:tc>
          <w:tcPr>
            <w:tcW w:w="2565" w:type="dxa"/>
            <w:tcBorders>
              <w:top w:val="single" w:sz="3" w:space="0" w:color="000000"/>
              <w:left w:val="nil"/>
              <w:bottom w:val="nil"/>
              <w:right w:val="nil"/>
            </w:tcBorders>
            <w:tcMar>
              <w:top w:w="80" w:type="dxa"/>
              <w:left w:w="160" w:type="dxa"/>
              <w:bottom w:w="80" w:type="dxa"/>
              <w:right w:w="160" w:type="dxa"/>
            </w:tcMar>
          </w:tcPr>
          <w:p w14:paraId="6A39C378"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98%</w:t>
            </w:r>
          </w:p>
        </w:tc>
        <w:tc>
          <w:tcPr>
            <w:tcW w:w="1830" w:type="dxa"/>
            <w:tcBorders>
              <w:top w:val="single" w:sz="3" w:space="0" w:color="000000"/>
              <w:left w:val="nil"/>
              <w:bottom w:val="nil"/>
              <w:right w:val="nil"/>
            </w:tcBorders>
            <w:tcMar>
              <w:top w:w="80" w:type="dxa"/>
              <w:left w:w="160" w:type="dxa"/>
              <w:bottom w:w="80" w:type="dxa"/>
              <w:right w:w="160" w:type="dxa"/>
            </w:tcMar>
          </w:tcPr>
          <w:p w14:paraId="450CCD67" w14:textId="77777777" w:rsidR="00273C33" w:rsidRPr="005403BF" w:rsidRDefault="00D441EA" w:rsidP="005403BF">
            <w:pPr>
              <w:spacing w:line="240" w:lineRule="auto"/>
              <w:rPr>
                <w:rFonts w:ascii="Times New Roman" w:hAnsi="Times New Roman" w:cs="Times New Roman"/>
              </w:rPr>
            </w:pPr>
            <w:r w:rsidRPr="005403BF">
              <w:rPr>
                <w:rFonts w:ascii="Times New Roman" w:hAnsi="Times New Roman" w:cs="Times New Roman"/>
              </w:rPr>
              <w:t>—</w:t>
            </w:r>
          </w:p>
        </w:tc>
      </w:tr>
    </w:tbl>
    <w:p w14:paraId="42ECE2EB" w14:textId="77777777" w:rsidR="00273C33" w:rsidRDefault="00D441EA" w:rsidP="00F204DA">
      <w:pPr>
        <w:spacing w:line="240" w:lineRule="auto"/>
        <w:ind w:firstLine="720"/>
        <w:rPr>
          <w:rFonts w:ascii="Times New Roman" w:eastAsia="Gungsuh" w:hAnsi="Times New Roman" w:cs="Times New Roman"/>
        </w:rPr>
      </w:pPr>
      <w:r w:rsidRPr="005403BF">
        <w:rPr>
          <w:rFonts w:ascii="Times New Roman" w:eastAsia="Gungsuh" w:hAnsi="Times New Roman" w:cs="Times New Roman"/>
        </w:rPr>
        <w:t xml:space="preserve">The naive model yields R²&gt;0.70 in 94% of null runs and 99% of true-signal runs, meaning it cannot distinguish the two scenarios. Meanwhile, the </w:t>
      </w:r>
      <w:proofErr w:type="gramStart"/>
      <w:r w:rsidRPr="005403BF">
        <w:rPr>
          <w:rFonts w:ascii="Times New Roman" w:eastAsia="Gungsuh" w:hAnsi="Times New Roman" w:cs="Times New Roman"/>
        </w:rPr>
        <w:t>differenced</w:t>
      </w:r>
      <w:proofErr w:type="gramEnd"/>
      <w:r w:rsidRPr="005403BF">
        <w:rPr>
          <w:rFonts w:ascii="Times New Roman" w:eastAsia="Gungsuh" w:hAnsi="Times New Roman" w:cs="Times New Roman"/>
        </w:rPr>
        <w:t xml:space="preserve"> model and within-study coefficient decisively separate them. The observed real data has differenced R²=0.020, within-WGA </w:t>
      </w:r>
      <w:proofErr w:type="spellStart"/>
      <w:r w:rsidRPr="005403BF">
        <w:rPr>
          <w:rFonts w:ascii="Times New Roman" w:eastAsia="Gungsuh" w:hAnsi="Times New Roman" w:cs="Times New Roman"/>
        </w:rPr>
        <w:t>coeff</w:t>
      </w:r>
      <w:proofErr w:type="spellEnd"/>
      <w:r w:rsidRPr="005403BF">
        <w:rPr>
          <w:rFonts w:ascii="Times New Roman" w:eastAsia="Gungsuh" w:hAnsi="Times New Roman" w:cs="Times New Roman"/>
        </w:rPr>
        <w:t>=−33.0, matching Scenario A closely and is entirely inconsistent with Scenario B.</w:t>
      </w:r>
    </w:p>
    <w:p w14:paraId="6B60FB00" w14:textId="77777777" w:rsidR="005403BF" w:rsidRPr="005403BF" w:rsidRDefault="005403BF" w:rsidP="005403BF">
      <w:pPr>
        <w:spacing w:line="240" w:lineRule="auto"/>
        <w:rPr>
          <w:rFonts w:ascii="Times New Roman" w:eastAsia="Times New Roman" w:hAnsi="Times New Roman" w:cs="Times New Roman"/>
        </w:rPr>
      </w:pPr>
    </w:p>
    <w:p w14:paraId="14CA2AFD" w14:textId="77777777" w:rsidR="00273C33" w:rsidRPr="005403BF" w:rsidRDefault="00D441EA" w:rsidP="005403BF">
      <w:pPr>
        <w:spacing w:line="240" w:lineRule="auto"/>
        <w:jc w:val="center"/>
        <w:rPr>
          <w:rFonts w:ascii="Times New Roman" w:eastAsia="Times New Roman" w:hAnsi="Times New Roman" w:cs="Times New Roman"/>
        </w:rPr>
      </w:pPr>
      <w:r w:rsidRPr="005403BF">
        <w:rPr>
          <w:rFonts w:ascii="Times New Roman" w:eastAsia="Times New Roman" w:hAnsi="Times New Roman" w:cs="Times New Roman"/>
          <w:noProof/>
        </w:rPr>
        <w:drawing>
          <wp:inline distT="114300" distB="114300" distL="114300" distR="114300" wp14:anchorId="12B6E551" wp14:editId="6ED138D3">
            <wp:extent cx="3041650" cy="2053590"/>
            <wp:effectExtent l="0" t="0" r="6350" b="381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41650" cy="2053590"/>
                    </a:xfrm>
                    <a:prstGeom prst="rect">
                      <a:avLst/>
                    </a:prstGeom>
                    <a:ln/>
                  </pic:spPr>
                </pic:pic>
              </a:graphicData>
            </a:graphic>
          </wp:inline>
        </w:drawing>
      </w:r>
    </w:p>
    <w:p w14:paraId="2ADFE8AE" w14:textId="77777777" w:rsidR="00273C33" w:rsidRPr="005403BF" w:rsidRDefault="00D441EA" w:rsidP="005403BF">
      <w:pPr>
        <w:spacing w:line="240" w:lineRule="auto"/>
        <w:jc w:val="center"/>
        <w:rPr>
          <w:rFonts w:ascii="Times New Roman" w:eastAsia="Times New Roman" w:hAnsi="Times New Roman" w:cs="Times New Roman"/>
          <w:sz w:val="20"/>
          <w:szCs w:val="20"/>
        </w:rPr>
      </w:pPr>
      <w:r w:rsidRPr="005403BF">
        <w:rPr>
          <w:rFonts w:ascii="Times New Roman" w:eastAsia="Times New Roman" w:hAnsi="Times New Roman" w:cs="Times New Roman"/>
          <w:sz w:val="20"/>
          <w:szCs w:val="20"/>
        </w:rPr>
        <w:t xml:space="preserve">Fig. 5: Calibration simulation. Top row: naive lag model R² distributions — both scenarios produce R²&gt;0.70 most of the time; the observed 0.720 (orange dotted line) falls in the Scenario A range. Bottom row: differenced model R² </w:t>
      </w:r>
      <w:r w:rsidRPr="005403BF">
        <w:rPr>
          <w:rFonts w:ascii="Times New Roman" w:eastAsia="Times New Roman" w:hAnsi="Times New Roman" w:cs="Times New Roman"/>
          <w:sz w:val="20"/>
          <w:szCs w:val="20"/>
        </w:rPr>
        <w:lastRenderedPageBreak/>
        <w:t xml:space="preserve">distributions — Scenario A clusters near 0 (observed 0.020 matches) while Scenario B spreads toward 1 (median 0.69). The naive model is uninformative; the </w:t>
      </w:r>
      <w:proofErr w:type="gramStart"/>
      <w:r w:rsidRPr="005403BF">
        <w:rPr>
          <w:rFonts w:ascii="Times New Roman" w:eastAsia="Times New Roman" w:hAnsi="Times New Roman" w:cs="Times New Roman"/>
          <w:sz w:val="20"/>
          <w:szCs w:val="20"/>
        </w:rPr>
        <w:t>differenced</w:t>
      </w:r>
      <w:proofErr w:type="gramEnd"/>
      <w:r w:rsidRPr="005403BF">
        <w:rPr>
          <w:rFonts w:ascii="Times New Roman" w:eastAsia="Times New Roman" w:hAnsi="Times New Roman" w:cs="Times New Roman"/>
          <w:sz w:val="20"/>
          <w:szCs w:val="20"/>
        </w:rPr>
        <w:t xml:space="preserve"> model correctly separates null from signal.</w:t>
      </w:r>
    </w:p>
    <w:p w14:paraId="6AEE1A99" w14:textId="77777777" w:rsidR="00273C33" w:rsidRPr="005403BF" w:rsidRDefault="00273C33" w:rsidP="005403BF">
      <w:pPr>
        <w:pBdr>
          <w:bottom w:val="none" w:sz="0" w:space="5" w:color="auto"/>
        </w:pBdr>
        <w:spacing w:line="240" w:lineRule="auto"/>
        <w:rPr>
          <w:rFonts w:ascii="Times New Roman" w:eastAsia="Times New Roman" w:hAnsi="Times New Roman" w:cs="Times New Roman"/>
        </w:rPr>
      </w:pPr>
    </w:p>
    <w:p w14:paraId="4B7F530C" w14:textId="77777777" w:rsidR="00273C33" w:rsidRPr="005403BF" w:rsidRDefault="00D441EA" w:rsidP="005403BF">
      <w:pPr>
        <w:pBdr>
          <w:bottom w:val="none" w:sz="0" w:space="5" w:color="auto"/>
        </w:pBdr>
        <w:spacing w:line="240" w:lineRule="auto"/>
        <w:rPr>
          <w:b/>
          <w:bCs/>
          <w:sz w:val="24"/>
          <w:szCs w:val="24"/>
        </w:rPr>
      </w:pPr>
      <w:r w:rsidRPr="005403BF">
        <w:rPr>
          <w:b/>
          <w:bCs/>
          <w:sz w:val="24"/>
          <w:szCs w:val="24"/>
        </w:rPr>
        <w:t>4. Discussion</w:t>
      </w:r>
    </w:p>
    <w:p w14:paraId="4FC5B526" w14:textId="4EDB7510" w:rsidR="00273C33" w:rsidRPr="005403BF" w:rsidRDefault="00D441EA" w:rsidP="00F204DA">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Our core contribution is an empirical demonstration of fundamentally different situations producing similar results depending on the model. In multi-study environmental metagenome designs, naive lag regression models produce results that are statistically indistinguishable under null and true-signal conditions. The real dataset yields a naive lag model R²=0.720 with a plausible MGE coefficient, while the calibration simulation shows that 94% of null datasets and 99% of true-signal datasets generate R²&gt;0.70 under the same study structure.</w:t>
      </w:r>
    </w:p>
    <w:p w14:paraId="266D3411" w14:textId="77777777" w:rsidR="00F204DA" w:rsidRDefault="00D441EA" w:rsidP="00F204DA">
      <w:pPr>
        <w:spacing w:line="240" w:lineRule="auto"/>
        <w:ind w:firstLine="720"/>
        <w:rPr>
          <w:rFonts w:ascii="Times New Roman" w:eastAsia="Times New Roman" w:hAnsi="Times New Roman" w:cs="Times New Roman"/>
        </w:rPr>
      </w:pPr>
      <w:r w:rsidRPr="005403BF">
        <w:rPr>
          <w:rFonts w:ascii="Times New Roman" w:eastAsia="Gungsuh" w:hAnsi="Times New Roman" w:cs="Times New Roman"/>
        </w:rPr>
        <w:t>Seven independent diagnostics point to the same null (Tables 1–7), with a non-significant pooled coefficient (p=0.579), an irregular lag correlation trend, a collapsed differenced R² (0.020), negligible Granger added-value (delta R²=0.014), negative WGA within-study coefficient (−33.0), non-significant LOSO across all variants, and 94% of null simulations yielding R²&gt;0.70. These results also place the observed 0.720 below the null median. Convergence across seven approaches makes a genuine positive relationship unlikely rather than merely undetectable by any single test.</w:t>
      </w:r>
    </w:p>
    <w:p w14:paraId="3E2C4753" w14:textId="77777777" w:rsidR="00F204DA" w:rsidRDefault="00D441EA" w:rsidP="00F204DA">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 xml:space="preserve">The calibration simulation proves the framework has discriminatory power. When testing the battery in Scenario B, differenced R² rises to a median of 0.69 and the within-WGA coefficient recovers the true beta (median=149, 98% positive). </w:t>
      </w:r>
    </w:p>
    <w:p w14:paraId="5C9DFE02" w14:textId="77777777" w:rsidR="00F204DA" w:rsidRDefault="00D441EA" w:rsidP="00F204DA">
      <w:pPr>
        <w:spacing w:line="240" w:lineRule="auto"/>
        <w:ind w:firstLine="720"/>
        <w:rPr>
          <w:rFonts w:ascii="Times New Roman" w:eastAsia="Times New Roman" w:hAnsi="Times New Roman" w:cs="Times New Roman"/>
        </w:rPr>
      </w:pPr>
      <w:r w:rsidRPr="005403BF">
        <w:rPr>
          <w:rFonts w:ascii="Times New Roman" w:eastAsia="Gungsuh" w:hAnsi="Times New Roman" w:cs="Times New Roman"/>
        </w:rPr>
        <w:t xml:space="preserve">Looking at our real data with differenced R²=0.020 and within-WGA </w:t>
      </w:r>
      <w:proofErr w:type="spellStart"/>
      <w:r w:rsidRPr="005403BF">
        <w:rPr>
          <w:rFonts w:ascii="Times New Roman" w:eastAsia="Gungsuh" w:hAnsi="Times New Roman" w:cs="Times New Roman"/>
        </w:rPr>
        <w:t>coeff</w:t>
      </w:r>
      <w:proofErr w:type="spellEnd"/>
      <w:r w:rsidRPr="005403BF">
        <w:rPr>
          <w:rFonts w:ascii="Times New Roman" w:eastAsia="Gungsuh" w:hAnsi="Times New Roman" w:cs="Times New Roman"/>
        </w:rPr>
        <w:t>=−33, it closely matches Scenario A on both criteria, giving the diagnostic battery basis for classification for the real data having no genuine predictive relationship.</w:t>
      </w:r>
    </w:p>
    <w:p w14:paraId="005D2F4C" w14:textId="77777777" w:rsidR="00F204DA" w:rsidRDefault="00D441EA" w:rsidP="00F204DA">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 xml:space="preserve">The practicality also extends to existing forecasting frameworks such as </w:t>
      </w:r>
      <w:proofErr w:type="spellStart"/>
      <w:r w:rsidRPr="005403BF">
        <w:rPr>
          <w:rFonts w:ascii="Times New Roman" w:eastAsia="Times New Roman" w:hAnsi="Times New Roman" w:cs="Times New Roman"/>
        </w:rPr>
        <w:t>ARGfore</w:t>
      </w:r>
      <w:proofErr w:type="spellEnd"/>
      <w:r w:rsidRPr="005403BF">
        <w:rPr>
          <w:rFonts w:ascii="Times New Roman" w:eastAsia="Times New Roman" w:hAnsi="Times New Roman" w:cs="Times New Roman"/>
        </w:rPr>
        <w:t xml:space="preserve"> [4]: applying differencing and within-location estimation to published results would directly test whether high R² reflected genuine temporal coupling or between-study scale differences. Some aspects of how the data were measured—like only counting one type of MGE (</w:t>
      </w:r>
      <w:proofErr w:type="spellStart"/>
      <w:r w:rsidRPr="005403BF">
        <w:rPr>
          <w:rFonts w:ascii="Times New Roman" w:eastAsia="Times New Roman" w:hAnsi="Times New Roman" w:cs="Times New Roman"/>
        </w:rPr>
        <w:t>integrons</w:t>
      </w:r>
      <w:proofErr w:type="spellEnd"/>
      <w:r w:rsidRPr="005403BF">
        <w:rPr>
          <w:rFonts w:ascii="Times New Roman" w:eastAsia="Times New Roman" w:hAnsi="Times New Roman" w:cs="Times New Roman"/>
        </w:rPr>
        <w:t>), possible biases from DNA amplification in the WGA samples, and differences in sequencing depth across samples—would normally make it harder to detect a real relationship by weakening the signal. In other words, if a true effect existed, these conditions would tend to push the results toward zero and make it less visible. Our results show a consistent null despite conditions that work against the null. Null results across both the 1.5-hour WGA and biweekly Bulgaria regimes strengthen this conclusion.</w:t>
      </w:r>
    </w:p>
    <w:p w14:paraId="08FF5FC9" w14:textId="415BF89B" w:rsidR="00273C33" w:rsidRPr="005403BF" w:rsidRDefault="00D441EA" w:rsidP="00F204DA">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The main limitation is small sample size (n=14 lag pairs), which the diagnostic battery compensates for by validating through triangulation across six independent approaches. The cohort spans only two environmental systems, and Bulgaria within-study series (n=3 pairs each) are too short for reliable estimation. Future work should extend to longer time series, mechanistic covariates, and application of this battery to published forecasting datasets.</w:t>
      </w:r>
    </w:p>
    <w:p w14:paraId="480A520C" w14:textId="77777777" w:rsidR="00273C33" w:rsidRPr="005403BF" w:rsidRDefault="00273C33" w:rsidP="005403BF">
      <w:pPr>
        <w:spacing w:line="240" w:lineRule="auto"/>
        <w:rPr>
          <w:rFonts w:ascii="Times New Roman" w:eastAsia="Times New Roman" w:hAnsi="Times New Roman" w:cs="Times New Roman"/>
        </w:rPr>
      </w:pPr>
    </w:p>
    <w:p w14:paraId="4EFA80C2" w14:textId="77777777" w:rsidR="00273C33" w:rsidRPr="005403BF" w:rsidRDefault="00D441EA" w:rsidP="005403BF">
      <w:pPr>
        <w:pBdr>
          <w:bottom w:val="none" w:sz="0" w:space="5" w:color="auto"/>
        </w:pBdr>
        <w:spacing w:line="240" w:lineRule="auto"/>
        <w:rPr>
          <w:b/>
          <w:bCs/>
          <w:sz w:val="24"/>
          <w:szCs w:val="24"/>
        </w:rPr>
      </w:pPr>
      <w:r w:rsidRPr="005403BF">
        <w:rPr>
          <w:b/>
          <w:bCs/>
          <w:sz w:val="24"/>
          <w:szCs w:val="24"/>
        </w:rPr>
        <w:t>5. Conclusion</w:t>
      </w:r>
    </w:p>
    <w:p w14:paraId="7B2A699D" w14:textId="77777777" w:rsidR="00273C33" w:rsidRPr="005403BF" w:rsidRDefault="00D441EA" w:rsidP="00F204DA">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t xml:space="preserve">We find that high R² is not evidence of predictive signal in multi-study </w:t>
      </w:r>
      <w:proofErr w:type="spellStart"/>
      <w:r w:rsidRPr="005403BF">
        <w:rPr>
          <w:rFonts w:ascii="Times New Roman" w:eastAsia="Times New Roman" w:hAnsi="Times New Roman" w:cs="Times New Roman"/>
        </w:rPr>
        <w:t>resistome</w:t>
      </w:r>
      <w:proofErr w:type="spellEnd"/>
      <w:r w:rsidRPr="005403BF">
        <w:rPr>
          <w:rFonts w:ascii="Times New Roman" w:eastAsia="Times New Roman" w:hAnsi="Times New Roman" w:cs="Times New Roman"/>
        </w:rPr>
        <w:t xml:space="preserve"> surveillance data. Our calibration simulation shows that naive lag models yield R²&gt;0.70 in 94% of null runs (median 0.856), whereas the observed R²=0.720 falls below the null median. The diagnostic battery returns null </w:t>
      </w:r>
      <w:proofErr w:type="gramStart"/>
      <w:r w:rsidRPr="005403BF">
        <w:rPr>
          <w:rFonts w:ascii="Times New Roman" w:eastAsia="Times New Roman" w:hAnsi="Times New Roman" w:cs="Times New Roman"/>
        </w:rPr>
        <w:t>across</w:t>
      </w:r>
      <w:proofErr w:type="gramEnd"/>
      <w:r w:rsidRPr="005403BF">
        <w:rPr>
          <w:rFonts w:ascii="Times New Roman" w:eastAsia="Times New Roman" w:hAnsi="Times New Roman" w:cs="Times New Roman"/>
        </w:rPr>
        <w:t xml:space="preserve"> seven independent tests, while the calibration simulation proves the same framework has power to detect real signals when they exist. When using such a framework, differencing recovers a median R²=0.69 and the within-study coefficient recovers the ground truth necessary to draw conclusions. The practical recommendation is to acknowledge that (1) the predictor coefficient is significant after trend removal and (2) within-study predictive signal exists independently of between-study scale differences before deploying any lag regression for an early-warning system. </w:t>
      </w:r>
    </w:p>
    <w:p w14:paraId="2522B5C1" w14:textId="77777777" w:rsidR="00273C33" w:rsidRPr="005403BF" w:rsidRDefault="00273C33" w:rsidP="005403BF">
      <w:pPr>
        <w:spacing w:line="240" w:lineRule="auto"/>
        <w:rPr>
          <w:rFonts w:ascii="Times New Roman" w:eastAsia="Times New Roman" w:hAnsi="Times New Roman" w:cs="Times New Roman"/>
        </w:rPr>
      </w:pPr>
    </w:p>
    <w:p w14:paraId="3FA3818F" w14:textId="77777777" w:rsidR="00273C33" w:rsidRPr="005403BF" w:rsidRDefault="00D441EA" w:rsidP="005403BF">
      <w:pPr>
        <w:pBdr>
          <w:bottom w:val="none" w:sz="0" w:space="5" w:color="auto"/>
        </w:pBdr>
        <w:spacing w:line="240" w:lineRule="auto"/>
        <w:rPr>
          <w:b/>
          <w:bCs/>
          <w:sz w:val="24"/>
          <w:szCs w:val="24"/>
        </w:rPr>
      </w:pPr>
      <w:r w:rsidRPr="005403BF">
        <w:rPr>
          <w:b/>
          <w:bCs/>
          <w:sz w:val="24"/>
          <w:szCs w:val="24"/>
        </w:rPr>
        <w:t>Acknowledgements</w:t>
      </w:r>
    </w:p>
    <w:p w14:paraId="7EAE199F" w14:textId="77777777" w:rsidR="00273C33" w:rsidRPr="005403BF" w:rsidRDefault="00D441EA" w:rsidP="00F204DA">
      <w:pPr>
        <w:spacing w:line="240" w:lineRule="auto"/>
        <w:ind w:firstLine="720"/>
        <w:rPr>
          <w:rFonts w:ascii="Times New Roman" w:eastAsia="Times New Roman" w:hAnsi="Times New Roman" w:cs="Times New Roman"/>
        </w:rPr>
      </w:pPr>
      <w:r w:rsidRPr="005403BF">
        <w:rPr>
          <w:rFonts w:ascii="Times New Roman" w:eastAsia="Times New Roman" w:hAnsi="Times New Roman" w:cs="Times New Roman"/>
        </w:rPr>
        <w:lastRenderedPageBreak/>
        <w:t xml:space="preserve">This work was supported by Beckman Laser Institute Inc. to LS. High school students participated in the UCSD IEM OPALS internship program. We gratefully acknowledge the support of Leighton Foundation, Ming-Wei Wu, Shu Chien, </w:t>
      </w:r>
      <w:proofErr w:type="spellStart"/>
      <w:r w:rsidRPr="005403BF">
        <w:rPr>
          <w:rFonts w:ascii="Times New Roman" w:eastAsia="Times New Roman" w:hAnsi="Times New Roman" w:cs="Times New Roman"/>
        </w:rPr>
        <w:t>Lizhu</w:t>
      </w:r>
      <w:proofErr w:type="spellEnd"/>
      <w:r w:rsidRPr="005403BF">
        <w:rPr>
          <w:rFonts w:ascii="Times New Roman" w:eastAsia="Times New Roman" w:hAnsi="Times New Roman" w:cs="Times New Roman"/>
        </w:rPr>
        <w:t xml:space="preserve"> Chen (</w:t>
      </w:r>
      <w:proofErr w:type="spellStart"/>
      <w:r w:rsidRPr="005403BF">
        <w:rPr>
          <w:rFonts w:ascii="Times New Roman" w:eastAsia="Times New Roman" w:hAnsi="Times New Roman" w:cs="Times New Roman"/>
        </w:rPr>
        <w:t>CorDx</w:t>
      </w:r>
      <w:proofErr w:type="spellEnd"/>
      <w:r w:rsidRPr="005403BF">
        <w:rPr>
          <w:rFonts w:ascii="Times New Roman" w:eastAsia="Times New Roman" w:hAnsi="Times New Roman" w:cs="Times New Roman"/>
        </w:rPr>
        <w:t xml:space="preserve"> Inc.), Xinhua Zheng, David &amp; Leslie Lee, Mingwei He &amp; Wen Shi.</w:t>
      </w:r>
    </w:p>
    <w:p w14:paraId="7819DE52" w14:textId="77777777" w:rsidR="00273C33" w:rsidRPr="005403BF" w:rsidRDefault="00273C33" w:rsidP="005403BF">
      <w:pPr>
        <w:pBdr>
          <w:bottom w:val="none" w:sz="0" w:space="5" w:color="auto"/>
        </w:pBdr>
        <w:spacing w:line="240" w:lineRule="auto"/>
        <w:rPr>
          <w:rFonts w:ascii="Times New Roman" w:eastAsia="Times New Roman" w:hAnsi="Times New Roman" w:cs="Times New Roman"/>
        </w:rPr>
      </w:pPr>
    </w:p>
    <w:p w14:paraId="6919F250" w14:textId="69BAFA1F" w:rsidR="007A4944" w:rsidRPr="005403BF" w:rsidRDefault="00D441EA" w:rsidP="005403BF">
      <w:pPr>
        <w:pBdr>
          <w:bottom w:val="none" w:sz="0" w:space="5" w:color="auto"/>
        </w:pBdr>
        <w:spacing w:line="240" w:lineRule="auto"/>
        <w:rPr>
          <w:b/>
          <w:bCs/>
          <w:sz w:val="24"/>
          <w:szCs w:val="24"/>
        </w:rPr>
      </w:pPr>
      <w:r w:rsidRPr="005403BF">
        <w:rPr>
          <w:b/>
          <w:bCs/>
          <w:sz w:val="24"/>
          <w:szCs w:val="24"/>
        </w:rPr>
        <w:t>References</w:t>
      </w:r>
    </w:p>
    <w:p w14:paraId="3B67F548" w14:textId="75FAE8F9" w:rsidR="00273C33"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[1</w:t>
      </w:r>
      <w:r w:rsidR="001D25ED">
        <w:rPr>
          <w:rFonts w:ascii="Times New Roman" w:eastAsia="Times New Roman" w:hAnsi="Times New Roman" w:cs="Times New Roman"/>
        </w:rPr>
        <w:t xml:space="preserve">]   </w:t>
      </w:r>
      <w:r w:rsidRPr="005403BF">
        <w:rPr>
          <w:rFonts w:ascii="Times New Roman" w:eastAsia="Times New Roman" w:hAnsi="Times New Roman" w:cs="Times New Roman"/>
        </w:rPr>
        <w:t xml:space="preserve">T. U. </w:t>
      </w:r>
      <w:proofErr w:type="spellStart"/>
      <w:r w:rsidRPr="005403BF">
        <w:rPr>
          <w:rFonts w:ascii="Times New Roman" w:eastAsia="Times New Roman" w:hAnsi="Times New Roman" w:cs="Times New Roman"/>
        </w:rPr>
        <w:t>Berendonk</w:t>
      </w:r>
      <w:proofErr w:type="spellEnd"/>
      <w:r w:rsidRPr="005403BF">
        <w:rPr>
          <w:rFonts w:ascii="Times New Roman" w:eastAsia="Times New Roman" w:hAnsi="Times New Roman" w:cs="Times New Roman"/>
        </w:rPr>
        <w:t xml:space="preserve"> et al., "Tackling antibiotic resistance: the environmental framework," Nature Reviews Microbiology, vol. 13, pp. 310–317, 2015.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10.1038/nrmicro3439</w:t>
      </w:r>
    </w:p>
    <w:p w14:paraId="1E398D65" w14:textId="554958C8"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[2] </w:t>
      </w:r>
      <w:r w:rsidR="00991D72">
        <w:rPr>
          <w:rFonts w:ascii="Times New Roman" w:eastAsia="Times New Roman" w:hAnsi="Times New Roman" w:cs="Times New Roman"/>
        </w:rPr>
        <w:t xml:space="preserve"> </w:t>
      </w:r>
      <w:r w:rsidR="00E00D79">
        <w:rPr>
          <w:rFonts w:ascii="Times New Roman" w:eastAsia="Times New Roman" w:hAnsi="Times New Roman" w:cs="Times New Roman"/>
        </w:rPr>
        <w:t xml:space="preserve"> </w:t>
      </w:r>
      <w:r w:rsidRPr="005403BF">
        <w:rPr>
          <w:rFonts w:ascii="Times New Roman" w:eastAsia="Times New Roman" w:hAnsi="Times New Roman" w:cs="Times New Roman"/>
        </w:rPr>
        <w:t xml:space="preserve">J. Schluter, G. Hussey, J. Valeriano, C. Zhang, A. Sullivan, and D. </w:t>
      </w:r>
      <w:proofErr w:type="spellStart"/>
      <w:r w:rsidRPr="005403BF">
        <w:rPr>
          <w:rFonts w:ascii="Times New Roman" w:eastAsia="Times New Roman" w:hAnsi="Times New Roman" w:cs="Times New Roman"/>
        </w:rPr>
        <w:t>Fenyö</w:t>
      </w:r>
      <w:proofErr w:type="spellEnd"/>
      <w:r w:rsidRPr="005403BF">
        <w:rPr>
          <w:rFonts w:ascii="Times New Roman" w:eastAsia="Times New Roman" w:hAnsi="Times New Roman" w:cs="Times New Roman"/>
        </w:rPr>
        <w:t xml:space="preserve">, "The MTIST platform: a microbiome time series inference standardized test," Research Square, preprint, 2024.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10.21203/rs.3.rs-4343683/v1</w:t>
      </w:r>
    </w:p>
    <w:p w14:paraId="20F2250C" w14:textId="1BEC5A1A"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[3]</w:t>
      </w:r>
      <w:r w:rsidR="00E00D79">
        <w:rPr>
          <w:rFonts w:ascii="Times New Roman" w:eastAsia="Times New Roman" w:hAnsi="Times New Roman" w:cs="Times New Roman"/>
        </w:rPr>
        <w:t xml:space="preserve"> </w:t>
      </w:r>
      <w:r w:rsidRPr="005403BF">
        <w:rPr>
          <w:rFonts w:ascii="Times New Roman" w:eastAsia="Times New Roman" w:hAnsi="Times New Roman" w:cs="Times New Roman"/>
        </w:rPr>
        <w:t xml:space="preserve"> </w:t>
      </w:r>
      <w:r w:rsidR="00991D72">
        <w:rPr>
          <w:rFonts w:ascii="Times New Roman" w:eastAsia="Times New Roman" w:hAnsi="Times New Roman" w:cs="Times New Roman"/>
        </w:rPr>
        <w:t xml:space="preserve"> </w:t>
      </w:r>
      <w:r w:rsidRPr="005403BF">
        <w:rPr>
          <w:rFonts w:ascii="Times New Roman" w:eastAsia="Times New Roman" w:hAnsi="Times New Roman" w:cs="Times New Roman"/>
        </w:rPr>
        <w:t xml:space="preserve">K. G. </w:t>
      </w:r>
      <w:proofErr w:type="spellStart"/>
      <w:r w:rsidRPr="005403BF">
        <w:rPr>
          <w:rFonts w:ascii="Times New Roman" w:eastAsia="Times New Roman" w:hAnsi="Times New Roman" w:cs="Times New Roman"/>
        </w:rPr>
        <w:t>Papaspyropoulos</w:t>
      </w:r>
      <w:proofErr w:type="spellEnd"/>
      <w:r w:rsidRPr="005403BF">
        <w:rPr>
          <w:rFonts w:ascii="Times New Roman" w:eastAsia="Times New Roman" w:hAnsi="Times New Roman" w:cs="Times New Roman"/>
        </w:rPr>
        <w:t xml:space="preserve"> and D. </w:t>
      </w:r>
      <w:proofErr w:type="spellStart"/>
      <w:r w:rsidRPr="005403BF">
        <w:rPr>
          <w:rFonts w:ascii="Times New Roman" w:eastAsia="Times New Roman" w:hAnsi="Times New Roman" w:cs="Times New Roman"/>
        </w:rPr>
        <w:t>Kugiumtzis</w:t>
      </w:r>
      <w:proofErr w:type="spellEnd"/>
      <w:r w:rsidRPr="005403BF">
        <w:rPr>
          <w:rFonts w:ascii="Times New Roman" w:eastAsia="Times New Roman" w:hAnsi="Times New Roman" w:cs="Times New Roman"/>
        </w:rPr>
        <w:t xml:space="preserve">, "On the validity of Granger causality for ecological count time series," Econometrics, vol. 12, no. 2, p. 13, 2024.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10.3390/econometrics12020013</w:t>
      </w:r>
    </w:p>
    <w:p w14:paraId="04841089" w14:textId="49CB6B9E"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[4] </w:t>
      </w:r>
      <w:r w:rsidR="00E00D79">
        <w:rPr>
          <w:rFonts w:ascii="Times New Roman" w:eastAsia="Times New Roman" w:hAnsi="Times New Roman" w:cs="Times New Roman"/>
        </w:rPr>
        <w:t xml:space="preserve"> </w:t>
      </w:r>
      <w:r w:rsidR="00991D72">
        <w:rPr>
          <w:rFonts w:ascii="Times New Roman" w:eastAsia="Times New Roman" w:hAnsi="Times New Roman" w:cs="Times New Roman"/>
        </w:rPr>
        <w:t xml:space="preserve"> </w:t>
      </w:r>
      <w:r w:rsidRPr="005403BF">
        <w:rPr>
          <w:rFonts w:ascii="Times New Roman" w:eastAsia="Times New Roman" w:hAnsi="Times New Roman" w:cs="Times New Roman"/>
        </w:rPr>
        <w:t xml:space="preserve">J. M. Choi, M. A. Rumi, C. L. Brown, P. J. </w:t>
      </w:r>
      <w:proofErr w:type="spellStart"/>
      <w:r w:rsidRPr="005403BF">
        <w:rPr>
          <w:rFonts w:ascii="Times New Roman" w:eastAsia="Times New Roman" w:hAnsi="Times New Roman" w:cs="Times New Roman"/>
        </w:rPr>
        <w:t>Vikesland</w:t>
      </w:r>
      <w:proofErr w:type="spellEnd"/>
      <w:r w:rsidRPr="005403BF">
        <w:rPr>
          <w:rFonts w:ascii="Times New Roman" w:eastAsia="Times New Roman" w:hAnsi="Times New Roman" w:cs="Times New Roman"/>
        </w:rPr>
        <w:t>, A. Pruden, and L. Zhang, "</w:t>
      </w:r>
      <w:proofErr w:type="spellStart"/>
      <w:r w:rsidRPr="005403BF">
        <w:rPr>
          <w:rFonts w:ascii="Times New Roman" w:eastAsia="Times New Roman" w:hAnsi="Times New Roman" w:cs="Times New Roman"/>
        </w:rPr>
        <w:t>ARGfore</w:t>
      </w:r>
      <w:proofErr w:type="spellEnd"/>
      <w:r w:rsidRPr="005403BF">
        <w:rPr>
          <w:rFonts w:ascii="Times New Roman" w:eastAsia="Times New Roman" w:hAnsi="Times New Roman" w:cs="Times New Roman"/>
        </w:rPr>
        <w:t xml:space="preserve">: A multivariate framework for forecasting antibiotic resistance gene abundances using time-series metagenomic datasets," IEEE Access, 2026.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10.1109/access.2026.3667074</w:t>
      </w:r>
    </w:p>
    <w:p w14:paraId="597AFCB5" w14:textId="016A481E"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[5] </w:t>
      </w:r>
      <w:r w:rsidR="006B1D85">
        <w:rPr>
          <w:rFonts w:ascii="Times New Roman" w:eastAsia="Times New Roman" w:hAnsi="Times New Roman" w:cs="Times New Roman"/>
        </w:rPr>
        <w:t xml:space="preserve">  </w:t>
      </w:r>
      <w:r w:rsidRPr="005403BF">
        <w:rPr>
          <w:rFonts w:ascii="Times New Roman" w:eastAsia="Times New Roman" w:hAnsi="Times New Roman" w:cs="Times New Roman"/>
        </w:rPr>
        <w:t>B. B</w:t>
      </w:r>
      <w:proofErr w:type="spellStart"/>
      <w:r w:rsidRPr="005403BF">
        <w:rPr>
          <w:rFonts w:ascii="Times New Roman" w:eastAsia="Times New Roman" w:hAnsi="Times New Roman" w:cs="Times New Roman"/>
        </w:rPr>
        <w:t>uchfink</w:t>
      </w:r>
      <w:proofErr w:type="spellEnd"/>
      <w:r w:rsidRPr="005403BF">
        <w:rPr>
          <w:rFonts w:ascii="Times New Roman" w:eastAsia="Times New Roman" w:hAnsi="Times New Roman" w:cs="Times New Roman"/>
        </w:rPr>
        <w:t xml:space="preserve">, K. Reuter, and H.-G. Drost, "Sensitive protein alignments at tree-of-life scale using DIAMOND," Nature Methods, vol. 18, pp. 366–368, 2021.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10.1038/s41592-021-01101-x</w:t>
      </w:r>
    </w:p>
    <w:p w14:paraId="5E3D9AA5" w14:textId="474A3E9A"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[6] </w:t>
      </w:r>
      <w:r w:rsidR="006B1D85">
        <w:rPr>
          <w:rFonts w:ascii="Times New Roman" w:eastAsia="Times New Roman" w:hAnsi="Times New Roman" w:cs="Times New Roman"/>
        </w:rPr>
        <w:t xml:space="preserve">  </w:t>
      </w:r>
      <w:r w:rsidRPr="005403BF">
        <w:rPr>
          <w:rFonts w:ascii="Times New Roman" w:eastAsia="Times New Roman" w:hAnsi="Times New Roman" w:cs="Times New Roman"/>
        </w:rPr>
        <w:t>B. N</w:t>
      </w:r>
      <w:proofErr w:type="spellStart"/>
      <w:r w:rsidRPr="005403BF">
        <w:rPr>
          <w:rFonts w:ascii="Times New Roman" w:eastAsia="Times New Roman" w:hAnsi="Times New Roman" w:cs="Times New Roman"/>
        </w:rPr>
        <w:t>éron</w:t>
      </w:r>
      <w:proofErr w:type="spellEnd"/>
      <w:r w:rsidRPr="005403BF">
        <w:rPr>
          <w:rFonts w:ascii="Times New Roman" w:eastAsia="Times New Roman" w:hAnsi="Times New Roman" w:cs="Times New Roman"/>
        </w:rPr>
        <w:t xml:space="preserve"> et al., "</w:t>
      </w:r>
      <w:proofErr w:type="spellStart"/>
      <w:r w:rsidRPr="005403BF">
        <w:rPr>
          <w:rFonts w:ascii="Times New Roman" w:eastAsia="Times New Roman" w:hAnsi="Times New Roman" w:cs="Times New Roman"/>
        </w:rPr>
        <w:t>IntegronFinder</w:t>
      </w:r>
      <w:proofErr w:type="spellEnd"/>
      <w:r w:rsidRPr="005403BF">
        <w:rPr>
          <w:rFonts w:ascii="Times New Roman" w:eastAsia="Times New Roman" w:hAnsi="Times New Roman" w:cs="Times New Roman"/>
        </w:rPr>
        <w:t xml:space="preserve"> 2.0: identification and analysis of </w:t>
      </w:r>
      <w:proofErr w:type="spellStart"/>
      <w:r w:rsidRPr="005403BF">
        <w:rPr>
          <w:rFonts w:ascii="Times New Roman" w:eastAsia="Times New Roman" w:hAnsi="Times New Roman" w:cs="Times New Roman"/>
        </w:rPr>
        <w:t>integrons</w:t>
      </w:r>
      <w:proofErr w:type="spellEnd"/>
      <w:r w:rsidRPr="005403BF">
        <w:rPr>
          <w:rFonts w:ascii="Times New Roman" w:eastAsia="Times New Roman" w:hAnsi="Times New Roman" w:cs="Times New Roman"/>
        </w:rPr>
        <w:t xml:space="preserve"> across bacteria, with a focus on antibiotic resistance in Klebsiella," Microorganisms, vol. 10, no. 4, p. 700, 2022.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10.3390/microorganisms10040700</w:t>
      </w:r>
    </w:p>
    <w:p w14:paraId="7C62A58C" w14:textId="35C88015"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[7]</w:t>
      </w:r>
      <w:r w:rsidR="006B1D85">
        <w:rPr>
          <w:rFonts w:ascii="Times New Roman" w:eastAsia="Times New Roman" w:hAnsi="Times New Roman" w:cs="Times New Roman"/>
        </w:rPr>
        <w:t xml:space="preserve">  </w:t>
      </w:r>
      <w:r w:rsidR="001D25ED">
        <w:rPr>
          <w:rFonts w:ascii="Times New Roman" w:eastAsia="Times New Roman" w:hAnsi="Times New Roman" w:cs="Times New Roman"/>
        </w:rPr>
        <w:t xml:space="preserve"> </w:t>
      </w:r>
      <w:r w:rsidRPr="005403BF">
        <w:rPr>
          <w:rFonts w:ascii="Times New Roman" w:eastAsia="Times New Roman" w:hAnsi="Times New Roman" w:cs="Times New Roman"/>
        </w:rPr>
        <w:t xml:space="preserve">M. R. Gillings et al., "Mobile class 1 </w:t>
      </w:r>
      <w:proofErr w:type="spellStart"/>
      <w:r w:rsidRPr="005403BF">
        <w:rPr>
          <w:rFonts w:ascii="Times New Roman" w:eastAsia="Times New Roman" w:hAnsi="Times New Roman" w:cs="Times New Roman"/>
        </w:rPr>
        <w:t>integrons</w:t>
      </w:r>
      <w:proofErr w:type="spellEnd"/>
      <w:r w:rsidRPr="005403BF">
        <w:rPr>
          <w:rFonts w:ascii="Times New Roman" w:eastAsia="Times New Roman" w:hAnsi="Times New Roman" w:cs="Times New Roman"/>
        </w:rPr>
        <w:t xml:space="preserve"> promote the spread of resistance genes in human microbiomes," NPJ Biofilms and Microbiomes, vol. 1, p. 15010, 2015.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10.1038/npjbiofilms.2015.10</w:t>
      </w:r>
    </w:p>
    <w:p w14:paraId="6F75E47E" w14:textId="40CA8944"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[8] </w:t>
      </w:r>
      <w:r w:rsidR="001D25ED">
        <w:rPr>
          <w:rFonts w:ascii="Times New Roman" w:eastAsia="Times New Roman" w:hAnsi="Times New Roman" w:cs="Times New Roman"/>
        </w:rPr>
        <w:t xml:space="preserve">   </w:t>
      </w:r>
      <w:r w:rsidRPr="005403BF">
        <w:rPr>
          <w:rFonts w:ascii="Times New Roman" w:eastAsia="Times New Roman" w:hAnsi="Times New Roman" w:cs="Times New Roman"/>
        </w:rPr>
        <w:t xml:space="preserve">J. Lu et al., "Bracken: estimating species abundance in metagenomics data," </w:t>
      </w:r>
      <w:proofErr w:type="spellStart"/>
      <w:r w:rsidRPr="005403BF">
        <w:rPr>
          <w:rFonts w:ascii="Times New Roman" w:eastAsia="Times New Roman" w:hAnsi="Times New Roman" w:cs="Times New Roman"/>
        </w:rPr>
        <w:t>PeerJ</w:t>
      </w:r>
      <w:proofErr w:type="spellEnd"/>
      <w:r w:rsidRPr="005403BF">
        <w:rPr>
          <w:rFonts w:ascii="Times New Roman" w:eastAsia="Times New Roman" w:hAnsi="Times New Roman" w:cs="Times New Roman"/>
        </w:rPr>
        <w:t xml:space="preserve"> Computer Science, vol. 3, p. e104, 2017.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10.7717/peerj-cs.104</w:t>
      </w:r>
    </w:p>
    <w:p w14:paraId="18CBA0B3" w14:textId="7CDFD906"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[9] </w:t>
      </w:r>
      <w:r w:rsidR="001D25ED">
        <w:rPr>
          <w:rFonts w:ascii="Times New Roman" w:eastAsia="Times New Roman" w:hAnsi="Times New Roman" w:cs="Times New Roman"/>
        </w:rPr>
        <w:t xml:space="preserve">   </w:t>
      </w:r>
      <w:r w:rsidRPr="005403BF">
        <w:rPr>
          <w:rFonts w:ascii="Times New Roman" w:eastAsia="Times New Roman" w:hAnsi="Times New Roman" w:cs="Times New Roman"/>
        </w:rPr>
        <w:t xml:space="preserve">D. E. Wood, J. Lu, and B. Langmead, "Improved metagenomic analysis with Kraken 2," Genome Biology, vol. 20, p. 257, 2019.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10.1186/s13059-019-1891-0</w:t>
      </w:r>
    </w:p>
    <w:p w14:paraId="56E0AE4B" w14:textId="324C8036"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[10] </w:t>
      </w:r>
      <w:r w:rsidR="001D25ED">
        <w:rPr>
          <w:rFonts w:ascii="Times New Roman" w:eastAsia="Times New Roman" w:hAnsi="Times New Roman" w:cs="Times New Roman"/>
        </w:rPr>
        <w:t xml:space="preserve"> </w:t>
      </w:r>
      <w:r w:rsidR="00156CEB">
        <w:rPr>
          <w:rFonts w:ascii="Times New Roman" w:eastAsia="Times New Roman" w:hAnsi="Times New Roman" w:cs="Times New Roman"/>
        </w:rPr>
        <w:t xml:space="preserve"> </w:t>
      </w:r>
      <w:r w:rsidRPr="005403BF">
        <w:rPr>
          <w:rFonts w:ascii="Times New Roman" w:eastAsia="Times New Roman" w:hAnsi="Times New Roman" w:cs="Times New Roman"/>
        </w:rPr>
        <w:t xml:space="preserve">D. Li et al., "MEGAHIT: an ultra-fast single-node solution for large and complex metagenomics assembly via succinct de Bruijn graph," Bioinformatics, vol. 31, no. 10, pp. 1674–1676, 2015.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10.1093/bioinformatics/btv033</w:t>
      </w:r>
    </w:p>
    <w:p w14:paraId="048B6717" w14:textId="4813B145"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[11] </w:t>
      </w:r>
      <w:r w:rsidR="00156CEB">
        <w:rPr>
          <w:rFonts w:ascii="Times New Roman" w:eastAsia="Times New Roman" w:hAnsi="Times New Roman" w:cs="Times New Roman"/>
        </w:rPr>
        <w:t xml:space="preserve">   </w:t>
      </w:r>
      <w:r w:rsidRPr="005403BF">
        <w:rPr>
          <w:rFonts w:ascii="Times New Roman" w:eastAsia="Times New Roman" w:hAnsi="Times New Roman" w:cs="Times New Roman"/>
        </w:rPr>
        <w:t xml:space="preserve">R. J. Hyndman and G. Athanasopoulos, Forecasting: Principles and Practice, 3rd ed. </w:t>
      </w:r>
      <w:proofErr w:type="spellStart"/>
      <w:r w:rsidRPr="005403BF">
        <w:rPr>
          <w:rFonts w:ascii="Times New Roman" w:eastAsia="Times New Roman" w:hAnsi="Times New Roman" w:cs="Times New Roman"/>
        </w:rPr>
        <w:t>OTexts</w:t>
      </w:r>
      <w:proofErr w:type="spellEnd"/>
      <w:r w:rsidRPr="005403BF">
        <w:rPr>
          <w:rFonts w:ascii="Times New Roman" w:eastAsia="Times New Roman" w:hAnsi="Times New Roman" w:cs="Times New Roman"/>
        </w:rPr>
        <w:t xml:space="preserve">, 2021. [Online]. Available: </w:t>
      </w:r>
      <w:hyperlink r:id="rId12">
        <w:r w:rsidR="00273C33" w:rsidRPr="005403BF">
          <w:rPr>
            <w:rFonts w:ascii="Times New Roman" w:eastAsia="Times New Roman" w:hAnsi="Times New Roman" w:cs="Times New Roman"/>
          </w:rPr>
          <w:t>https://otexts.com/fpp3</w:t>
        </w:r>
      </w:hyperlink>
    </w:p>
    <w:p w14:paraId="72FE89C9" w14:textId="5908FBA4"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[12] </w:t>
      </w:r>
      <w:r w:rsidR="00156CEB">
        <w:rPr>
          <w:rFonts w:ascii="Times New Roman" w:eastAsia="Times New Roman" w:hAnsi="Times New Roman" w:cs="Times New Roman"/>
        </w:rPr>
        <w:t xml:space="preserve">   </w:t>
      </w:r>
      <w:r w:rsidRPr="005403BF">
        <w:rPr>
          <w:rFonts w:ascii="Times New Roman" w:eastAsia="Times New Roman" w:hAnsi="Times New Roman" w:cs="Times New Roman"/>
        </w:rPr>
        <w:t xml:space="preserve">S. Seabold and J. </w:t>
      </w:r>
      <w:proofErr w:type="spellStart"/>
      <w:r w:rsidRPr="005403BF">
        <w:rPr>
          <w:rFonts w:ascii="Times New Roman" w:eastAsia="Times New Roman" w:hAnsi="Times New Roman" w:cs="Times New Roman"/>
        </w:rPr>
        <w:t>Perktold</w:t>
      </w:r>
      <w:proofErr w:type="spellEnd"/>
      <w:r w:rsidRPr="005403BF">
        <w:rPr>
          <w:rFonts w:ascii="Times New Roman" w:eastAsia="Times New Roman" w:hAnsi="Times New Roman" w:cs="Times New Roman"/>
        </w:rPr>
        <w:t>, "</w:t>
      </w:r>
      <w:proofErr w:type="spellStart"/>
      <w:r w:rsidRPr="005403BF">
        <w:rPr>
          <w:rFonts w:ascii="Times New Roman" w:eastAsia="Times New Roman" w:hAnsi="Times New Roman" w:cs="Times New Roman"/>
        </w:rPr>
        <w:t>Statsmodels</w:t>
      </w:r>
      <w:proofErr w:type="spellEnd"/>
      <w:r w:rsidRPr="005403BF">
        <w:rPr>
          <w:rFonts w:ascii="Times New Roman" w:eastAsia="Times New Roman" w:hAnsi="Times New Roman" w:cs="Times New Roman"/>
        </w:rPr>
        <w:t xml:space="preserve">: econometric and statistical modeling with Python," in Proc. 9th Python in Science Conf. (SciPy 2010), 2010.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10.25080/Majora-92bf1922-011</w:t>
      </w:r>
    </w:p>
    <w:p w14:paraId="29F8D936" w14:textId="7C1DB8E5" w:rsidR="00273C33" w:rsidRPr="005403BF" w:rsidRDefault="00D441EA" w:rsidP="005403BF">
      <w:pPr>
        <w:spacing w:line="240" w:lineRule="auto"/>
        <w:rPr>
          <w:rFonts w:ascii="Times New Roman" w:eastAsia="Times New Roman" w:hAnsi="Times New Roman" w:cs="Times New Roman"/>
        </w:rPr>
      </w:pPr>
      <w:r w:rsidRPr="005403BF">
        <w:rPr>
          <w:rFonts w:ascii="Times New Roman" w:eastAsia="Times New Roman" w:hAnsi="Times New Roman" w:cs="Times New Roman"/>
        </w:rPr>
        <w:t xml:space="preserve">[13] </w:t>
      </w:r>
      <w:r w:rsidR="00156CEB">
        <w:rPr>
          <w:rFonts w:ascii="Times New Roman" w:eastAsia="Times New Roman" w:hAnsi="Times New Roman" w:cs="Times New Roman"/>
        </w:rPr>
        <w:t xml:space="preserve">   </w:t>
      </w:r>
      <w:r w:rsidRPr="005403BF">
        <w:rPr>
          <w:rFonts w:ascii="Times New Roman" w:eastAsia="Times New Roman" w:hAnsi="Times New Roman" w:cs="Times New Roman"/>
        </w:rPr>
        <w:t xml:space="preserve">The pandas development team, "pandas-dev/pandas: Pandas," </w:t>
      </w:r>
      <w:proofErr w:type="spellStart"/>
      <w:r w:rsidRPr="005403BF">
        <w:rPr>
          <w:rFonts w:ascii="Times New Roman" w:eastAsia="Times New Roman" w:hAnsi="Times New Roman" w:cs="Times New Roman"/>
        </w:rPr>
        <w:t>Zenodo</w:t>
      </w:r>
      <w:proofErr w:type="spellEnd"/>
      <w:r w:rsidRPr="005403BF">
        <w:rPr>
          <w:rFonts w:ascii="Times New Roman" w:eastAsia="Times New Roman" w:hAnsi="Times New Roman" w:cs="Times New Roman"/>
        </w:rPr>
        <w:t xml:space="preserve">, 2020. </w:t>
      </w:r>
      <w:proofErr w:type="spellStart"/>
      <w:r w:rsidRPr="005403BF">
        <w:rPr>
          <w:rFonts w:ascii="Times New Roman" w:eastAsia="Times New Roman" w:hAnsi="Times New Roman" w:cs="Times New Roman"/>
        </w:rPr>
        <w:t>doi</w:t>
      </w:r>
      <w:proofErr w:type="spellEnd"/>
      <w:r w:rsidRPr="005403BF">
        <w:rPr>
          <w:rFonts w:ascii="Times New Roman" w:eastAsia="Times New Roman" w:hAnsi="Times New Roman" w:cs="Times New Roman"/>
        </w:rPr>
        <w:t>: 10.5281/zenodo.3509134</w:t>
      </w:r>
    </w:p>
    <w:p w14:paraId="4AB1A364" w14:textId="77777777" w:rsidR="00273C33" w:rsidRPr="005403BF" w:rsidRDefault="00273C33" w:rsidP="005403BF">
      <w:pPr>
        <w:spacing w:line="240" w:lineRule="auto"/>
        <w:rPr>
          <w:rFonts w:ascii="Times New Roman" w:eastAsia="Times New Roman" w:hAnsi="Times New Roman" w:cs="Times New Roman"/>
        </w:rPr>
      </w:pPr>
    </w:p>
    <w:sectPr w:rsidR="00273C33" w:rsidRPr="005403BF" w:rsidSect="005403BF">
      <w:headerReference w:type="default" r:id="rId13"/>
      <w:footerReference w:type="default" r:id="rId14"/>
      <w:headerReference w:type="first" r:id="rId15"/>
      <w:footerReference w:type="first" r:id="rId16"/>
      <w:pgSz w:w="12240" w:h="15840" w:code="1"/>
      <w:pgMar w:top="1418" w:right="1418" w:bottom="1418"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8EBB1" w14:textId="77777777" w:rsidR="00C13747" w:rsidRDefault="00C13747">
      <w:pPr>
        <w:spacing w:line="240" w:lineRule="auto"/>
      </w:pPr>
      <w:r>
        <w:separator/>
      </w:r>
    </w:p>
  </w:endnote>
  <w:endnote w:type="continuationSeparator" w:id="0">
    <w:p w14:paraId="47942F13" w14:textId="77777777" w:rsidR="00C13747" w:rsidRDefault="00C137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rdo">
    <w:charset w:val="00"/>
    <w:family w:val="auto"/>
    <w:pitch w:val="default"/>
    <w:embedRegular r:id="rId1" w:fontKey="{8ED3F41C-8363-41C8-B42F-3B138D1EC352}"/>
  </w:font>
  <w:font w:name="Calibri">
    <w:panose1 w:val="020F0502020204030204"/>
    <w:charset w:val="00"/>
    <w:family w:val="swiss"/>
    <w:pitch w:val="variable"/>
    <w:sig w:usb0="E4002EFF" w:usb1="C200247B" w:usb2="00000009" w:usb3="00000000" w:csb0="000001FF" w:csb1="00000000"/>
    <w:embedRegular r:id="rId2" w:fontKey="{B0A2B4D5-AE79-4D87-9F92-A46837390851}"/>
  </w:font>
  <w:font w:name="Cambria">
    <w:panose1 w:val="02040503050406030204"/>
    <w:charset w:val="00"/>
    <w:family w:val="roman"/>
    <w:pitch w:val="variable"/>
    <w:sig w:usb0="E00006FF" w:usb1="420024FF" w:usb2="02000000" w:usb3="00000000" w:csb0="0000019F" w:csb1="00000000"/>
    <w:embedRegular r:id="rId3" w:fontKey="{189CB0B5-9C3D-475F-B101-B141CBB9AA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7B3F" w14:textId="77777777" w:rsidR="00273C33" w:rsidRDefault="00D441EA">
    <w:pPr>
      <w:jc w:val="center"/>
      <w:rPr>
        <w:rFonts w:ascii="Times New Roman" w:eastAsia="Times New Roman" w:hAnsi="Times New Roman" w:cs="Times New Roman"/>
      </w:rPr>
    </w:pPr>
    <w:r>
      <w:rPr>
        <w:rFonts w:ascii="Times New Roman" w:eastAsia="Times New Roman" w:hAnsi="Times New Roman" w:cs="Times New Roman"/>
        <w:sz w:val="18"/>
        <w:szCs w:val="18"/>
      </w:rPr>
      <w:t xml:space="preserve">ICBES </w:t>
    </w:r>
    <w:r>
      <w:rPr>
        <w:rFonts w:ascii="Times New Roman" w:eastAsia="Times New Roman" w:hAnsi="Times New Roman" w:cs="Times New Roman"/>
      </w:rPr>
      <w:t>131-</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403BF">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B6D7" w14:textId="77777777" w:rsidR="00273C33" w:rsidRDefault="00D441EA">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ICBES 131-1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D40C8" w14:textId="77777777" w:rsidR="00C13747" w:rsidRDefault="00C13747">
      <w:pPr>
        <w:spacing w:line="240" w:lineRule="auto"/>
      </w:pPr>
      <w:r>
        <w:separator/>
      </w:r>
    </w:p>
  </w:footnote>
  <w:footnote w:type="continuationSeparator" w:id="0">
    <w:p w14:paraId="1CBE7DCA" w14:textId="77777777" w:rsidR="00C13747" w:rsidRDefault="00C137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5F52" w14:textId="77777777" w:rsidR="00273C33" w:rsidRDefault="00273C33">
    <w:pPr>
      <w:rPr>
        <w:rFonts w:ascii="Times New Roman" w:eastAsia="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2C72" w14:textId="77777777" w:rsidR="00273C33" w:rsidRDefault="00D441EA">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Proceedings of the 12</w:t>
    </w:r>
    <w:r>
      <w:rPr>
        <w:rFonts w:ascii="Times New Roman" w:eastAsia="Times New Roman" w:hAnsi="Times New Roman" w:cs="Times New Roman"/>
        <w:i/>
        <w:iCs/>
        <w:sz w:val="18"/>
        <w:szCs w:val="18"/>
        <w:vertAlign w:val="superscript"/>
      </w:rPr>
      <w:t>th</w:t>
    </w:r>
    <w:r>
      <w:rPr>
        <w:rFonts w:ascii="Times New Roman" w:eastAsia="Times New Roman" w:hAnsi="Times New Roman" w:cs="Times New Roman"/>
        <w:i/>
        <w:iCs/>
        <w:sz w:val="18"/>
        <w:szCs w:val="18"/>
      </w:rPr>
      <w:t xml:space="preserve"> World Congress on Electrical Engineering and Computer Systems and Sciences (EECSS 2026)</w:t>
    </w:r>
  </w:p>
  <w:p w14:paraId="121D172A" w14:textId="77777777" w:rsidR="00273C33" w:rsidRDefault="00D441EA">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August 16 – 18, 2026 – London, United Kingdom        </w:t>
    </w:r>
    <w:r>
      <w:rPr>
        <w:rFonts w:ascii="Times New Roman" w:eastAsia="Times New Roman" w:hAnsi="Times New Roman" w:cs="Times New Roman"/>
        <w:i/>
        <w:iCs/>
        <w:sz w:val="18"/>
        <w:szCs w:val="18"/>
      </w:rPr>
      <w:tab/>
    </w:r>
  </w:p>
  <w:p w14:paraId="010E6294" w14:textId="77777777" w:rsidR="00273C33" w:rsidRDefault="00D441EA">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Paper No. ICBES 131</w:t>
    </w:r>
  </w:p>
  <w:p w14:paraId="1FE883B6" w14:textId="77777777" w:rsidR="00273C33" w:rsidRDefault="00D441EA">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DOI: TBA</w:t>
    </w:r>
  </w:p>
  <w:p w14:paraId="36119C95" w14:textId="77777777" w:rsidR="00273C33" w:rsidRDefault="00273C33">
    <w:pPr>
      <w:rPr>
        <w:rFonts w:ascii="Times New Roman" w:eastAsia="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68B"/>
    <w:multiLevelType w:val="multilevel"/>
    <w:tmpl w:val="63507FF2"/>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B8079A"/>
    <w:multiLevelType w:val="multilevel"/>
    <w:tmpl w:val="41BE92FA"/>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1001028">
    <w:abstractNumId w:val="1"/>
  </w:num>
  <w:num w:numId="2" w16cid:durableId="1759979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C33"/>
    <w:rsid w:val="00156CEB"/>
    <w:rsid w:val="001D25ED"/>
    <w:rsid w:val="00273C33"/>
    <w:rsid w:val="00293C33"/>
    <w:rsid w:val="002B159D"/>
    <w:rsid w:val="003E00D9"/>
    <w:rsid w:val="004F1BD6"/>
    <w:rsid w:val="005403BF"/>
    <w:rsid w:val="00647847"/>
    <w:rsid w:val="006B1D85"/>
    <w:rsid w:val="007931B5"/>
    <w:rsid w:val="007A4944"/>
    <w:rsid w:val="008C24AA"/>
    <w:rsid w:val="00907B4E"/>
    <w:rsid w:val="009450B5"/>
    <w:rsid w:val="00991D72"/>
    <w:rsid w:val="00C13747"/>
    <w:rsid w:val="00D24A9D"/>
    <w:rsid w:val="00D441EA"/>
    <w:rsid w:val="00E00D79"/>
    <w:rsid w:val="00E56302"/>
    <w:rsid w:val="00EB1BBF"/>
    <w:rsid w:val="00F166BB"/>
    <w:rsid w:val="00F20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7242"/>
  <w15:docId w15:val="{0F77C7D2-104E-41DC-9DEF-FD81AF13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Spacing">
    <w:name w:val="No Spacing"/>
    <w:uiPriority w:val="1"/>
    <w:qFormat/>
    <w:rsid w:val="005403B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texts.com/fpp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ZhangC9414</cp:lastModifiedBy>
  <cp:revision>18</cp:revision>
  <dcterms:created xsi:type="dcterms:W3CDTF">2026-06-08T05:11:00Z</dcterms:created>
  <dcterms:modified xsi:type="dcterms:W3CDTF">2026-06-08T05:27:00Z</dcterms:modified>
</cp:coreProperties>
</file>