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01823">
      <w:pPr>
        <w:spacing w:line="480" w:lineRule="auto"/>
        <w:jc w:val="center"/>
        <w:rPr>
          <w:rFonts w:ascii="Times New Roman" w:hAnsi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Supplementary Material</w:t>
      </w:r>
    </w:p>
    <w:p w14:paraId="07FAD37B">
      <w:pPr>
        <w:spacing w:line="360" w:lineRule="auto"/>
        <w:jc w:val="left"/>
        <w:rPr>
          <w:rFonts w:ascii="Times New Roman" w:hAnsi="Times New Roman" w:eastAsia="楷体_GB2312" w:cs="Times New Roman"/>
          <w:b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 w:cs="Times New Roman"/>
          <w:b/>
          <w:bCs/>
          <w:color w:val="000000"/>
          <w:sz w:val="32"/>
          <w:szCs w:val="32"/>
        </w:rPr>
        <w:t>Prevalence of antibiotic resistance gene in different wastewater treatment systems and effluent-irrigated soils through metagenomic analysis</w:t>
      </w:r>
    </w:p>
    <w:p w14:paraId="3C8FC437">
      <w:pPr>
        <w:spacing w:line="360" w:lineRule="auto"/>
        <w:jc w:val="left"/>
        <w:rPr>
          <w:rFonts w:ascii="Times New Roman" w:hAnsi="Times New Roman"/>
          <w:color w:val="000000"/>
          <w:szCs w:val="24"/>
        </w:rPr>
      </w:pPr>
      <w:bookmarkStart w:id="0" w:name="_Hlk102909685"/>
    </w:p>
    <w:p w14:paraId="72674419">
      <w:pPr>
        <w:spacing w:line="480" w:lineRule="auto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Hua Fang</w:t>
      </w:r>
      <w:r>
        <w:rPr>
          <w:rFonts w:ascii="Times New Roman" w:hAnsi="Times New Roman"/>
          <w:szCs w:val="24"/>
          <w:vertAlign w:val="superscript"/>
        </w:rPr>
        <w:t>a</w:t>
      </w:r>
      <w:r>
        <w:rPr>
          <w:rFonts w:hint="eastAsia" w:ascii="Times New Roman" w:hAnsi="Times New Roman"/>
          <w:szCs w:val="24"/>
          <w:vertAlign w:val="superscript"/>
        </w:rPr>
        <w:t>,#</w:t>
      </w:r>
      <w:r>
        <w:rPr>
          <w:rFonts w:hint="eastAsia"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</w:rPr>
        <w:t>M</w:t>
      </w:r>
      <w:r>
        <w:rPr>
          <w:rFonts w:hint="eastAsia" w:ascii="Times New Roman" w:hAnsi="Times New Roman"/>
          <w:szCs w:val="24"/>
        </w:rPr>
        <w:t xml:space="preserve">iao </w:t>
      </w:r>
      <w:r>
        <w:rPr>
          <w:rFonts w:ascii="Times New Roman" w:hAnsi="Times New Roman"/>
          <w:szCs w:val="24"/>
        </w:rPr>
        <w:t>P</w:t>
      </w:r>
      <w:r>
        <w:rPr>
          <w:rFonts w:hint="eastAsia" w:ascii="Times New Roman" w:hAnsi="Times New Roman"/>
          <w:szCs w:val="24"/>
        </w:rPr>
        <w:t>u</w:t>
      </w:r>
      <w:r>
        <w:rPr>
          <w:rFonts w:hint="eastAsia" w:ascii="Times New Roman" w:hAnsi="Times New Roman"/>
          <w:szCs w:val="24"/>
          <w:vertAlign w:val="superscript"/>
        </w:rPr>
        <w:t>b,d,#</w:t>
      </w:r>
      <w:r>
        <w:rPr>
          <w:rFonts w:hint="eastAsia" w:ascii="Times New Roman" w:hAnsi="Times New Roman"/>
          <w:szCs w:val="24"/>
        </w:rPr>
        <w:t>, Ailier</w:t>
      </w:r>
      <w:r>
        <w:rPr>
          <w:rFonts w:hint="eastAsia" w:ascii="Times New Roman" w:hAnsi="Times New Roman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szCs w:val="24"/>
        </w:rPr>
        <w:t>jiang</w:t>
      </w:r>
      <w:r>
        <w:rPr>
          <w:rFonts w:ascii="Times New Roman" w:hAnsi="Times New Roman"/>
          <w:szCs w:val="24"/>
          <w:vertAlign w:val="superscript"/>
        </w:rPr>
        <w:t>a</w:t>
      </w:r>
      <w:r>
        <w:rPr>
          <w:rFonts w:hint="eastAsia" w:ascii="Times New Roman" w:hAnsi="Times New Roman"/>
          <w:szCs w:val="24"/>
        </w:rPr>
        <w:t>, Fuer</w:t>
      </w:r>
      <w:r>
        <w:rPr>
          <w:rFonts w:hint="eastAsia" w:ascii="Times New Roman" w:hAnsi="Times New Roman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szCs w:val="24"/>
        </w:rPr>
        <w:t>haiti</w:t>
      </w:r>
      <w:r>
        <w:rPr>
          <w:rFonts w:ascii="Times New Roman" w:hAnsi="Times New Roman"/>
          <w:szCs w:val="24"/>
          <w:vertAlign w:val="superscript"/>
        </w:rPr>
        <w:t>a</w:t>
      </w:r>
      <w:r>
        <w:rPr>
          <w:rFonts w:hint="eastAsia" w:ascii="Times New Roman" w:hAnsi="Times New Roman"/>
          <w:szCs w:val="24"/>
        </w:rPr>
        <w:t>, Yubei Liu</w:t>
      </w:r>
      <w:r>
        <w:rPr>
          <w:rFonts w:ascii="Times New Roman" w:hAnsi="Times New Roman"/>
          <w:szCs w:val="24"/>
          <w:vertAlign w:val="superscript"/>
        </w:rPr>
        <w:t>a</w:t>
      </w:r>
      <w:r>
        <w:rPr>
          <w:rFonts w:hint="eastAsia"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</w:rPr>
        <w:t>Nuerla Ailijiang</w:t>
      </w:r>
      <w:bookmarkStart w:id="1" w:name="OLE_LINK1"/>
      <w:r>
        <w:rPr>
          <w:rFonts w:hint="eastAsia" w:ascii="Times New Roman" w:hAnsi="Times New Roman"/>
          <w:szCs w:val="24"/>
          <w:vertAlign w:val="superscript"/>
        </w:rPr>
        <w:t>b,c</w:t>
      </w:r>
      <w:bookmarkEnd w:id="1"/>
      <w:r>
        <w:rPr>
          <w:rFonts w:hint="eastAsia" w:ascii="Times New Roman" w:hAnsi="Times New Roman"/>
          <w:szCs w:val="24"/>
          <w:vertAlign w:val="superscript"/>
        </w:rPr>
        <w:t>,*</w:t>
      </w:r>
      <w:r>
        <w:rPr>
          <w:rFonts w:hint="eastAsia" w:ascii="Times New Roman" w:hAnsi="Times New Roman"/>
          <w:szCs w:val="24"/>
        </w:rPr>
        <w:t>, Anwar Mamat</w:t>
      </w:r>
      <w:r>
        <w:rPr>
          <w:rFonts w:hint="eastAsia" w:ascii="Times New Roman" w:hAnsi="Times New Roman"/>
          <w:szCs w:val="24"/>
          <w:vertAlign w:val="superscript"/>
        </w:rPr>
        <w:t>e</w:t>
      </w:r>
      <w:r>
        <w:rPr>
          <w:rFonts w:hint="eastAsia" w:ascii="Times New Roman" w:hAnsi="Times New Roman"/>
          <w:szCs w:val="24"/>
        </w:rPr>
        <w:t>, Xifeng Tu</w:t>
      </w:r>
      <w:r>
        <w:rPr>
          <w:rFonts w:hint="eastAsia" w:ascii="Times New Roman" w:hAnsi="Times New Roman"/>
          <w:szCs w:val="24"/>
          <w:vertAlign w:val="superscript"/>
        </w:rPr>
        <w:t>b,c,</w:t>
      </w:r>
      <w:bookmarkStart w:id="3" w:name="_GoBack"/>
      <w:bookmarkEnd w:id="3"/>
    </w:p>
    <w:bookmarkEnd w:id="0"/>
    <w:p w14:paraId="7EAC7647">
      <w:pPr>
        <w:spacing w:line="480" w:lineRule="auto"/>
        <w:rPr>
          <w:rFonts w:ascii="Times New Roman" w:hAnsi="Times New Roman"/>
          <w:szCs w:val="24"/>
        </w:rPr>
      </w:pPr>
      <w:bookmarkStart w:id="2" w:name="_Hlk76547967"/>
      <w:bookmarkEnd w:id="2"/>
      <w:r>
        <w:rPr>
          <w:rFonts w:hint="eastAsia" w:ascii="Times New Roman" w:hAnsi="Times New Roman"/>
          <w:szCs w:val="24"/>
          <w:vertAlign w:val="superscript"/>
        </w:rPr>
        <w:t>a</w:t>
      </w:r>
      <w:r>
        <w:rPr>
          <w:rFonts w:hint="eastAsia" w:ascii="Times New Roman" w:hAnsi="Times New Roman"/>
          <w:szCs w:val="24"/>
        </w:rPr>
        <w:t>Xinjiang Communications Investment Construction Management Co., Ltd</w:t>
      </w:r>
    </w:p>
    <w:p w14:paraId="39428418">
      <w:pPr>
        <w:spacing w:line="480" w:lineRule="auto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  <w:vertAlign w:val="superscript"/>
        </w:rPr>
        <w:t>b</w:t>
      </w:r>
      <w:r>
        <w:rPr>
          <w:rFonts w:hint="eastAsia" w:ascii="Times New Roman" w:hAnsi="Times New Roman"/>
          <w:szCs w:val="24"/>
        </w:rPr>
        <w:t>Key Laboratory of Oasis Ecology of Education Ministry</w:t>
      </w:r>
      <w:r>
        <w:rPr>
          <w:rFonts w:ascii="Times New Roman" w:hAnsi="Times New Roman"/>
          <w:szCs w:val="24"/>
        </w:rPr>
        <w:t xml:space="preserve">, </w:t>
      </w:r>
      <w:r>
        <w:rPr>
          <w:rFonts w:hint="eastAsia" w:ascii="Times New Roman" w:hAnsi="Times New Roman"/>
          <w:szCs w:val="24"/>
        </w:rPr>
        <w:t>College of Ecology and Environment</w:t>
      </w:r>
      <w:r>
        <w:rPr>
          <w:rFonts w:ascii="Times New Roman" w:hAnsi="Times New Roman"/>
          <w:szCs w:val="24"/>
        </w:rPr>
        <w:t>, Xinjiang University</w:t>
      </w:r>
      <w:r>
        <w:rPr>
          <w:rFonts w:hint="eastAsia"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</w:rPr>
        <w:t>Urumqi 8300</w:t>
      </w:r>
      <w:r>
        <w:rPr>
          <w:rFonts w:hint="eastAsia" w:ascii="Times New Roman" w:hAnsi="Times New Roman"/>
          <w:szCs w:val="24"/>
        </w:rPr>
        <w:t>17</w:t>
      </w:r>
      <w:r>
        <w:rPr>
          <w:rFonts w:ascii="Times New Roman" w:hAnsi="Times New Roman"/>
          <w:szCs w:val="24"/>
        </w:rPr>
        <w:t>, P.R. China</w:t>
      </w:r>
    </w:p>
    <w:p w14:paraId="47D261C3">
      <w:pPr>
        <w:adjustRightInd w:val="0"/>
        <w:snapToGrid w:val="0"/>
        <w:spacing w:line="480" w:lineRule="auto"/>
        <w:jc w:val="left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  <w:vertAlign w:val="superscript"/>
        </w:rPr>
        <w:t>c</w:t>
      </w:r>
      <w:r>
        <w:rPr>
          <w:rFonts w:ascii="Times New Roman" w:hAnsi="Times New Roman"/>
          <w:szCs w:val="24"/>
        </w:rPr>
        <w:t>Xinjiang Jinghe Observation and Research Station of Temperate Desert Ecosystem, Ministry of Education</w:t>
      </w:r>
      <w:r>
        <w:rPr>
          <w:rFonts w:hint="eastAsia"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</w:rPr>
        <w:t>Urumqi 8300</w:t>
      </w:r>
      <w:r>
        <w:rPr>
          <w:rFonts w:hint="eastAsia" w:ascii="Times New Roman" w:hAnsi="Times New Roman"/>
          <w:szCs w:val="24"/>
        </w:rPr>
        <w:t>17</w:t>
      </w:r>
      <w:r>
        <w:rPr>
          <w:rFonts w:ascii="Times New Roman" w:hAnsi="Times New Roman"/>
          <w:szCs w:val="24"/>
        </w:rPr>
        <w:t>, P.R. China</w:t>
      </w:r>
    </w:p>
    <w:p w14:paraId="6CFD55E5">
      <w:pPr>
        <w:adjustRightInd w:val="0"/>
        <w:snapToGrid w:val="0"/>
        <w:spacing w:line="480" w:lineRule="auto"/>
        <w:jc w:val="left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  <w:vertAlign w:val="superscript"/>
        </w:rPr>
        <w:t>d</w:t>
      </w:r>
      <w:r>
        <w:rPr>
          <w:rFonts w:hint="eastAsia" w:ascii="Times New Roman" w:hAnsi="Times New Roman"/>
          <w:szCs w:val="24"/>
        </w:rPr>
        <w:t xml:space="preserve">Xinjiang Institute of Nonferrous Metals Co, </w:t>
      </w:r>
      <w:r>
        <w:rPr>
          <w:rFonts w:ascii="Times New Roman" w:hAnsi="Times New Roman"/>
          <w:szCs w:val="24"/>
        </w:rPr>
        <w:t xml:space="preserve">Urumqi </w:t>
      </w:r>
      <w:r>
        <w:rPr>
          <w:rFonts w:hint="eastAsia" w:ascii="Times New Roman" w:hAnsi="Times New Roman"/>
          <w:szCs w:val="24"/>
        </w:rPr>
        <w:t>830022</w:t>
      </w:r>
      <w:r>
        <w:rPr>
          <w:rFonts w:ascii="Times New Roman" w:hAnsi="Times New Roman"/>
          <w:szCs w:val="24"/>
        </w:rPr>
        <w:t>, P.R. China</w:t>
      </w:r>
    </w:p>
    <w:p w14:paraId="4DD52D26">
      <w:pPr>
        <w:adjustRightInd w:val="0"/>
        <w:snapToGrid w:val="0"/>
        <w:spacing w:line="480" w:lineRule="auto"/>
        <w:rPr>
          <w:rFonts w:ascii="Times New Roman" w:hAnsi="Times New Roman"/>
          <w:color w:val="000000"/>
          <w:szCs w:val="24"/>
        </w:rPr>
      </w:pPr>
      <w:r>
        <w:rPr>
          <w:rFonts w:hint="eastAsia" w:ascii="Times New Roman" w:hAnsi="Times New Roman"/>
          <w:color w:val="000000"/>
          <w:szCs w:val="24"/>
          <w:vertAlign w:val="superscript"/>
        </w:rPr>
        <w:t>e</w:t>
      </w:r>
      <w:r>
        <w:rPr>
          <w:rFonts w:hint="eastAsia" w:ascii="Times New Roman" w:hAnsi="Times New Roman"/>
          <w:color w:val="000000"/>
          <w:szCs w:val="24"/>
        </w:rPr>
        <w:t>School of Chemical Engineering and Technology, Xinjiang University, Urumqi, 830017, PR China</w:t>
      </w:r>
    </w:p>
    <w:p w14:paraId="0631E77F">
      <w:pPr>
        <w:adjustRightInd w:val="0"/>
        <w:snapToGrid w:val="0"/>
        <w:spacing w:line="480" w:lineRule="auto"/>
        <w:jc w:val="left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 xml:space="preserve">    </w:t>
      </w:r>
    </w:p>
    <w:p w14:paraId="438A9AB3">
      <w:pPr>
        <w:adjustRightInd w:val="0"/>
        <w:snapToGrid w:val="0"/>
        <w:spacing w:line="480" w:lineRule="auto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#These authors contributed to the work equally and should be regarded</w:t>
      </w:r>
    </w:p>
    <w:p w14:paraId="375D9B45">
      <w:pPr>
        <w:adjustRightInd w:val="0"/>
        <w:snapToGrid w:val="0"/>
        <w:spacing w:line="480" w:lineRule="auto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as co-first authors</w:t>
      </w:r>
    </w:p>
    <w:p w14:paraId="1D1A8288">
      <w:pPr>
        <w:spacing w:line="48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*Corresponding author</w:t>
      </w:r>
      <w:r>
        <w:rPr>
          <w:rFonts w:hint="eastAsia"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 xml:space="preserve"> </w:t>
      </w:r>
    </w:p>
    <w:p w14:paraId="1D0E546E">
      <w:pPr>
        <w:spacing w:line="48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Email address: </w:t>
      </w:r>
      <w:r>
        <w:fldChar w:fldCharType="begin"/>
      </w:r>
      <w:r>
        <w:instrText xml:space="preserve"> HYPERLINK "mailto: aljnel@xju.edu.cn" </w:instrText>
      </w:r>
      <w:r>
        <w:fldChar w:fldCharType="separate"/>
      </w:r>
      <w:r>
        <w:rPr>
          <w:rFonts w:ascii="Times New Roman" w:hAnsi="Times New Roman"/>
          <w:szCs w:val="24"/>
        </w:rPr>
        <w:t>aljnel@xju.edu.cn</w:t>
      </w:r>
      <w:r>
        <w:rPr>
          <w:rFonts w:ascii="Times New Roman" w:hAnsi="Times New Roman"/>
          <w:szCs w:val="24"/>
        </w:rPr>
        <w:fldChar w:fldCharType="end"/>
      </w:r>
      <w:r>
        <w:rPr>
          <w:rFonts w:ascii="Times New Roman" w:hAnsi="Times New Roman"/>
          <w:szCs w:val="24"/>
        </w:rPr>
        <w:t xml:space="preserve"> (Nuerla Ailijiang)</w:t>
      </w:r>
    </w:p>
    <w:p w14:paraId="49C9BC34">
      <w:pPr>
        <w:jc w:val="center"/>
        <w:rPr>
          <w:rFonts w:hint="eastAsia"/>
        </w:rPr>
      </w:pPr>
    </w:p>
    <w:p w14:paraId="5B45F23A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This supplement provides additional information for the main paper.</w:t>
      </w:r>
    </w:p>
    <w:p w14:paraId="256A8505">
      <w:pPr>
        <w:spacing w:line="480" w:lineRule="auto"/>
        <w:rPr>
          <w:rFonts w:ascii="Times New Roman" w:hAnsi="Times New Roman"/>
        </w:rPr>
      </w:pPr>
    </w:p>
    <w:p w14:paraId="027DE484">
      <w:pPr>
        <w:spacing w:line="480" w:lineRule="auto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S1. HPLC-MS/MS analysis</w:t>
      </w:r>
    </w:p>
    <w:p w14:paraId="32B44B4F">
      <w:pPr>
        <w:spacing w:line="48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The column temperature was 40°C, the flow rate was 0.4 mL/min, and the injection volume was 5 μL. The mobile phases were 5 mmol/L ammonium acetate (A) and acetonitrile (B). The gradient program was set as follows: 0-0.25 min, 90% A; 0.25-3 min, 10-90% A; 3-4 min, 10% A; 4-5 min, 10-90% A; total running time was 5 minutes. Instrument conditions: capillary voltage: 4 kV; drying gas temperature: 600°C; drying gas flow rate: 3 L/min; nebulizer pressure: 35 psi. Antibiotic concentrations were quantified using the external standard method, with 100 ng/L of standard added to each sample to calculate the recovery rate of target antibiotics.</w:t>
      </w:r>
    </w:p>
    <w:p w14:paraId="49B9E7BF">
      <w:pPr>
        <w:jc w:val="center"/>
        <w:rPr>
          <w:rFonts w:hint="eastAsia"/>
        </w:rPr>
      </w:pPr>
    </w:p>
    <w:p w14:paraId="7BFC7741">
      <w:pPr>
        <w:widowControl/>
        <w:jc w:val="left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77F5E5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9560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20A4">
      <w:pPr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Fig.</w:t>
      </w:r>
      <w:r>
        <w:rPr>
          <w:rFonts w:hint="eastAsia"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>S</w:t>
      </w:r>
      <w:r>
        <w:rPr>
          <w:rFonts w:hint="eastAsia" w:ascii="Times New Roman" w:hAnsi="Times New Roman" w:cs="Times New Roman"/>
          <w:b/>
          <w:bCs/>
          <w:szCs w:val="24"/>
        </w:rPr>
        <w:t>1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hint="eastAsia"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Venn diagram of ARGs subtypes</w:t>
      </w:r>
    </w:p>
    <w:p w14:paraId="09EE143D">
      <w:pPr>
        <w:widowControl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0D8B27C7">
      <w:pPr>
        <w:widowControl/>
        <w:spacing w:line="48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Table S1</w:t>
      </w:r>
      <w:r>
        <w:rPr>
          <w:rFonts w:ascii="Times New Roman" w:hAnsi="Times New Roman" w:cs="Times New Roman"/>
          <w:szCs w:val="24"/>
        </w:rPr>
        <w:t xml:space="preserve"> Soil sample collection coordinates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6ACBD8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8" w:space="0"/>
              <w:bottom w:val="single" w:color="auto" w:sz="8" w:space="0"/>
            </w:tcBorders>
          </w:tcPr>
          <w:p w14:paraId="2E81B8F0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Sample</w:t>
            </w:r>
          </w:p>
        </w:tc>
        <w:tc>
          <w:tcPr>
            <w:tcW w:w="2765" w:type="dxa"/>
            <w:tcBorders>
              <w:top w:val="single" w:color="auto" w:sz="8" w:space="0"/>
              <w:bottom w:val="single" w:color="auto" w:sz="8" w:space="0"/>
            </w:tcBorders>
          </w:tcPr>
          <w:p w14:paraId="41A0992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North latitude</w:t>
            </w:r>
          </w:p>
        </w:tc>
        <w:tc>
          <w:tcPr>
            <w:tcW w:w="2766" w:type="dxa"/>
            <w:tcBorders>
              <w:top w:val="single" w:color="auto" w:sz="8" w:space="0"/>
              <w:bottom w:val="single" w:color="auto" w:sz="8" w:space="0"/>
            </w:tcBorders>
          </w:tcPr>
          <w:p w14:paraId="491FDEA2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East longitude</w:t>
            </w:r>
          </w:p>
        </w:tc>
      </w:tr>
      <w:tr w14:paraId="154D193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8" w:space="0"/>
            </w:tcBorders>
          </w:tcPr>
          <w:p w14:paraId="0BF095C1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R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S1</w:t>
            </w:r>
          </w:p>
        </w:tc>
        <w:tc>
          <w:tcPr>
            <w:tcW w:w="2765" w:type="dxa"/>
            <w:tcBorders>
              <w:top w:val="single" w:color="auto" w:sz="8" w:space="0"/>
            </w:tcBorders>
          </w:tcPr>
          <w:p w14:paraId="27ADC430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43°55’38’’</w:t>
            </w:r>
          </w:p>
        </w:tc>
        <w:tc>
          <w:tcPr>
            <w:tcW w:w="2766" w:type="dxa"/>
            <w:tcBorders>
              <w:top w:val="single" w:color="auto" w:sz="8" w:space="0"/>
            </w:tcBorders>
          </w:tcPr>
          <w:p w14:paraId="504C2C52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87°36’5’’</w:t>
            </w:r>
          </w:p>
        </w:tc>
      </w:tr>
      <w:tr w14:paraId="2E9C8E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9CC0048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I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S2</w:t>
            </w:r>
          </w:p>
        </w:tc>
        <w:tc>
          <w:tcPr>
            <w:tcW w:w="2765" w:type="dxa"/>
          </w:tcPr>
          <w:p w14:paraId="3233ACB0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43°58’0’’</w:t>
            </w:r>
          </w:p>
        </w:tc>
        <w:tc>
          <w:tcPr>
            <w:tcW w:w="2766" w:type="dxa"/>
          </w:tcPr>
          <w:p w14:paraId="0374B050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87°40’56’’</w:t>
            </w:r>
          </w:p>
        </w:tc>
      </w:tr>
      <w:tr w14:paraId="34FF4E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70FFF1A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I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S3</w:t>
            </w:r>
          </w:p>
        </w:tc>
        <w:tc>
          <w:tcPr>
            <w:tcW w:w="2765" w:type="dxa"/>
          </w:tcPr>
          <w:p w14:paraId="4BBA61AF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43°58’31’’</w:t>
            </w:r>
          </w:p>
        </w:tc>
        <w:tc>
          <w:tcPr>
            <w:tcW w:w="2766" w:type="dxa"/>
          </w:tcPr>
          <w:p w14:paraId="48425D3A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87°41’43’’</w:t>
            </w:r>
          </w:p>
        </w:tc>
      </w:tr>
      <w:tr w14:paraId="6428F0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162AD67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I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S4</w:t>
            </w:r>
          </w:p>
        </w:tc>
        <w:tc>
          <w:tcPr>
            <w:tcW w:w="2765" w:type="dxa"/>
          </w:tcPr>
          <w:p w14:paraId="01A33059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43°55’33’’</w:t>
            </w:r>
          </w:p>
        </w:tc>
        <w:tc>
          <w:tcPr>
            <w:tcW w:w="2766" w:type="dxa"/>
          </w:tcPr>
          <w:p w14:paraId="6C827755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87°31’29’’</w:t>
            </w:r>
          </w:p>
        </w:tc>
      </w:tr>
      <w:tr w14:paraId="2752AD2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765" w:type="dxa"/>
            <w:tcBorders>
              <w:bottom w:val="single" w:color="auto" w:sz="8" w:space="0"/>
            </w:tcBorders>
          </w:tcPr>
          <w:p w14:paraId="119168A0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N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S5</w:t>
            </w:r>
          </w:p>
        </w:tc>
        <w:tc>
          <w:tcPr>
            <w:tcW w:w="2765" w:type="dxa"/>
            <w:tcBorders>
              <w:bottom w:val="single" w:color="auto" w:sz="8" w:space="0"/>
            </w:tcBorders>
          </w:tcPr>
          <w:p w14:paraId="126789E9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43°46’0’’</w:t>
            </w:r>
          </w:p>
        </w:tc>
        <w:tc>
          <w:tcPr>
            <w:tcW w:w="2766" w:type="dxa"/>
            <w:tcBorders>
              <w:bottom w:val="single" w:color="auto" w:sz="8" w:space="0"/>
            </w:tcBorders>
          </w:tcPr>
          <w:p w14:paraId="29226392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87°36’45’’</w:t>
            </w:r>
          </w:p>
        </w:tc>
      </w:tr>
    </w:tbl>
    <w:p w14:paraId="29C9BE8F">
      <w:pPr>
        <w:jc w:val="left"/>
        <w:rPr>
          <w:rFonts w:ascii="Times New Roman" w:hAnsi="Times New Roman" w:cs="Times New Roman"/>
          <w:color w:val="FF0000"/>
          <w:szCs w:val="24"/>
        </w:rPr>
      </w:pPr>
    </w:p>
    <w:p w14:paraId="3BA0446C">
      <w:pPr>
        <w:widowControl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0E6DC039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Table</w:t>
      </w:r>
      <w:r>
        <w:rPr>
          <w:rFonts w:ascii="Times New Roman" w:hAnsi="Times New Roman" w:cs="Times New Roman"/>
          <w:b/>
          <w:bCs/>
          <w:szCs w:val="24"/>
        </w:rPr>
        <w:t xml:space="preserve"> S2</w:t>
      </w:r>
      <w:r>
        <w:rPr>
          <w:rFonts w:ascii="Times New Roman" w:hAnsi="Times New Roman" w:cs="Times New Roman"/>
          <w:szCs w:val="24"/>
        </w:rPr>
        <w:t xml:space="preserve"> ANOVA test of ARGs in different seasons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941A5B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8" w:space="0"/>
              <w:bottom w:val="single" w:color="auto" w:sz="8" w:space="0"/>
            </w:tcBorders>
          </w:tcPr>
          <w:p w14:paraId="23740E25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Cs w:val="24"/>
              </w:rPr>
              <w:t>Sample</w:t>
            </w:r>
          </w:p>
        </w:tc>
        <w:tc>
          <w:tcPr>
            <w:tcW w:w="2765" w:type="dxa"/>
            <w:tcBorders>
              <w:top w:val="single" w:color="auto" w:sz="8" w:space="0"/>
              <w:bottom w:val="single" w:color="auto" w:sz="8" w:space="0"/>
            </w:tcBorders>
          </w:tcPr>
          <w:p w14:paraId="364F6733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F</w:t>
            </w:r>
          </w:p>
        </w:tc>
        <w:tc>
          <w:tcPr>
            <w:tcW w:w="2766" w:type="dxa"/>
            <w:tcBorders>
              <w:top w:val="single" w:color="auto" w:sz="8" w:space="0"/>
              <w:bottom w:val="single" w:color="auto" w:sz="8" w:space="0"/>
            </w:tcBorders>
          </w:tcPr>
          <w:p w14:paraId="1F36ED7D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p</w:t>
            </w:r>
          </w:p>
        </w:tc>
      </w:tr>
      <w:tr w14:paraId="206F68E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8" w:space="0"/>
            </w:tcBorders>
          </w:tcPr>
          <w:p w14:paraId="067EEDAB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W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WTS-HD</w:t>
            </w:r>
          </w:p>
        </w:tc>
        <w:tc>
          <w:tcPr>
            <w:tcW w:w="2765" w:type="dxa"/>
            <w:tcBorders>
              <w:top w:val="single" w:color="auto" w:sz="8" w:space="0"/>
            </w:tcBorders>
          </w:tcPr>
          <w:p w14:paraId="4E707596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Cs w:val="20"/>
              </w:rPr>
              <w:t>0.407</w:t>
            </w:r>
            <w:r>
              <w:rPr>
                <w:rFonts w:ascii="Times New Roman" w:hAnsi="Times New Roman" w:cs="Times New Roman"/>
                <w:color w:val="000000"/>
                <w:kern w:val="0"/>
                <w:szCs w:val="20"/>
              </w:rPr>
              <w:t>7</w:t>
            </w:r>
          </w:p>
        </w:tc>
        <w:tc>
          <w:tcPr>
            <w:tcW w:w="2766" w:type="dxa"/>
            <w:tcBorders>
              <w:top w:val="single" w:color="auto" w:sz="8" w:space="0"/>
            </w:tcBorders>
          </w:tcPr>
          <w:p w14:paraId="4B5BEBBC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Cs w:val="20"/>
              </w:rPr>
              <w:t>0.8430</w:t>
            </w:r>
          </w:p>
        </w:tc>
      </w:tr>
      <w:tr w14:paraId="3643E59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D177AEB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W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WTS-MD</w:t>
            </w:r>
          </w:p>
        </w:tc>
        <w:tc>
          <w:tcPr>
            <w:tcW w:w="2765" w:type="dxa"/>
          </w:tcPr>
          <w:p w14:paraId="38D37AE3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Cs w:val="20"/>
              </w:rPr>
              <w:t>0.8198</w:t>
            </w:r>
          </w:p>
        </w:tc>
        <w:tc>
          <w:tcPr>
            <w:tcW w:w="2766" w:type="dxa"/>
          </w:tcPr>
          <w:p w14:paraId="241E378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Cs w:val="20"/>
              </w:rPr>
              <w:t>0.5370</w:t>
            </w:r>
          </w:p>
        </w:tc>
      </w:tr>
    </w:tbl>
    <w:p w14:paraId="65CBC59E">
      <w:pPr>
        <w:jc w:val="center"/>
        <w:rPr>
          <w:rFonts w:ascii="Times New Roman" w:hAnsi="Times New Roman" w:cs="Times New Roman"/>
          <w:szCs w:val="24"/>
        </w:rPr>
      </w:pPr>
    </w:p>
    <w:p w14:paraId="55693097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Table</w:t>
      </w:r>
      <w:r>
        <w:rPr>
          <w:rFonts w:ascii="Times New Roman" w:hAnsi="Times New Roman" w:cs="Times New Roman"/>
          <w:b/>
          <w:bCs/>
          <w:szCs w:val="24"/>
        </w:rPr>
        <w:t xml:space="preserve"> S3</w:t>
      </w:r>
      <w:r>
        <w:rPr>
          <w:rFonts w:ascii="Times New Roman" w:hAnsi="Times New Roman" w:cs="Times New Roman"/>
          <w:szCs w:val="24"/>
        </w:rPr>
        <w:t xml:space="preserve"> ANOVA </w:t>
      </w:r>
      <w:r>
        <w:rPr>
          <w:rFonts w:hint="eastAsia" w:ascii="Times New Roman" w:hAnsi="Times New Roman" w:cs="Times New Roman"/>
          <w:szCs w:val="24"/>
        </w:rPr>
        <w:t>test</w:t>
      </w:r>
      <w:r>
        <w:rPr>
          <w:rFonts w:ascii="Times New Roman" w:hAnsi="Times New Roman" w:cs="Times New Roman"/>
          <w:szCs w:val="24"/>
        </w:rPr>
        <w:t xml:space="preserve"> of ARGs in soils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C330E6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F79E3CD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ample</w:t>
            </w:r>
          </w:p>
        </w:tc>
        <w:tc>
          <w:tcPr>
            <w:tcW w:w="2765" w:type="dxa"/>
          </w:tcPr>
          <w:p w14:paraId="42250C3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F</w:t>
            </w:r>
          </w:p>
        </w:tc>
        <w:tc>
          <w:tcPr>
            <w:tcW w:w="2766" w:type="dxa"/>
          </w:tcPr>
          <w:p w14:paraId="22532EB1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p</w:t>
            </w:r>
          </w:p>
        </w:tc>
      </w:tr>
      <w:tr w14:paraId="7E0480D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DBD2211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oil</w:t>
            </w:r>
          </w:p>
        </w:tc>
        <w:tc>
          <w:tcPr>
            <w:tcW w:w="2765" w:type="dxa"/>
          </w:tcPr>
          <w:p w14:paraId="5BD0E87A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Cs w:val="20"/>
              </w:rPr>
              <w:t>0.6292</w:t>
            </w:r>
          </w:p>
        </w:tc>
        <w:tc>
          <w:tcPr>
            <w:tcW w:w="2766" w:type="dxa"/>
          </w:tcPr>
          <w:p w14:paraId="7873655C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Cs w:val="20"/>
              </w:rPr>
              <w:t>0.6424</w:t>
            </w:r>
          </w:p>
        </w:tc>
      </w:tr>
    </w:tbl>
    <w:p w14:paraId="0DCFB337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741B093D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Table S4</w:t>
      </w:r>
      <w:r>
        <w:rPr>
          <w:rFonts w:ascii="Times New Roman" w:hAnsi="Times New Roman" w:cs="Times New Roman"/>
          <w:szCs w:val="24"/>
        </w:rPr>
        <w:t xml:space="preserve"> ANOVA test of microbial genus in different seasons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EB97FA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bottom w:val="single" w:color="auto" w:sz="8" w:space="0"/>
            </w:tcBorders>
          </w:tcPr>
          <w:p w14:paraId="4C3E5535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ample</w:t>
            </w:r>
          </w:p>
        </w:tc>
        <w:tc>
          <w:tcPr>
            <w:tcW w:w="2765" w:type="dxa"/>
            <w:tcBorders>
              <w:bottom w:val="single" w:color="auto" w:sz="8" w:space="0"/>
            </w:tcBorders>
          </w:tcPr>
          <w:p w14:paraId="0E57A966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F</w:t>
            </w:r>
          </w:p>
        </w:tc>
        <w:tc>
          <w:tcPr>
            <w:tcW w:w="2766" w:type="dxa"/>
            <w:tcBorders>
              <w:bottom w:val="single" w:color="auto" w:sz="8" w:space="0"/>
            </w:tcBorders>
          </w:tcPr>
          <w:p w14:paraId="540A6B0C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p</w:t>
            </w:r>
          </w:p>
        </w:tc>
      </w:tr>
      <w:tr w14:paraId="07C3512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8" w:space="0"/>
              <w:bottom w:val="nil"/>
            </w:tcBorders>
          </w:tcPr>
          <w:p w14:paraId="1D6310C6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W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WTS-HD</w:t>
            </w:r>
          </w:p>
        </w:tc>
        <w:tc>
          <w:tcPr>
            <w:tcW w:w="2765" w:type="dxa"/>
            <w:tcBorders>
              <w:top w:val="single" w:color="auto" w:sz="8" w:space="0"/>
              <w:bottom w:val="nil"/>
            </w:tcBorders>
          </w:tcPr>
          <w:p w14:paraId="7C872D01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.0537</w:t>
            </w:r>
          </w:p>
        </w:tc>
        <w:tc>
          <w:tcPr>
            <w:tcW w:w="2766" w:type="dxa"/>
            <w:tcBorders>
              <w:top w:val="single" w:color="auto" w:sz="8" w:space="0"/>
              <w:bottom w:val="nil"/>
            </w:tcBorders>
          </w:tcPr>
          <w:p w14:paraId="68D67E97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.3861</w:t>
            </w:r>
          </w:p>
        </w:tc>
      </w:tr>
      <w:tr w14:paraId="573FB3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nil"/>
            </w:tcBorders>
          </w:tcPr>
          <w:p w14:paraId="6B0E21E2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W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WTS-MD</w:t>
            </w:r>
          </w:p>
        </w:tc>
        <w:tc>
          <w:tcPr>
            <w:tcW w:w="2765" w:type="dxa"/>
            <w:tcBorders>
              <w:top w:val="nil"/>
            </w:tcBorders>
          </w:tcPr>
          <w:p w14:paraId="1836C295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1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.6721</w:t>
            </w:r>
          </w:p>
        </w:tc>
        <w:tc>
          <w:tcPr>
            <w:tcW w:w="2766" w:type="dxa"/>
            <w:tcBorders>
              <w:top w:val="nil"/>
            </w:tcBorders>
          </w:tcPr>
          <w:p w14:paraId="07D37BC4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.1408</w:t>
            </w:r>
          </w:p>
        </w:tc>
      </w:tr>
    </w:tbl>
    <w:p w14:paraId="41C57B1A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50106BD0">
      <w:pPr>
        <w:rPr>
          <w:rFonts w:ascii="Times New Roman" w:hAnsi="Times New Roman" w:cs="Times New Roman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FjOWNhNDgzZTRmOWQ5N2U0MDRmZTNiZDg3YjJmMTcifQ=="/>
  </w:docVars>
  <w:rsids>
    <w:rsidRoot w:val="00D05F30"/>
    <w:rsid w:val="00046EB8"/>
    <w:rsid w:val="000F501B"/>
    <w:rsid w:val="00157D19"/>
    <w:rsid w:val="001A2C30"/>
    <w:rsid w:val="001C51EB"/>
    <w:rsid w:val="00225FCD"/>
    <w:rsid w:val="00253440"/>
    <w:rsid w:val="002C7798"/>
    <w:rsid w:val="0041080C"/>
    <w:rsid w:val="00441617"/>
    <w:rsid w:val="00454293"/>
    <w:rsid w:val="004832FD"/>
    <w:rsid w:val="00561449"/>
    <w:rsid w:val="005926F2"/>
    <w:rsid w:val="00605C0E"/>
    <w:rsid w:val="006233EE"/>
    <w:rsid w:val="00683148"/>
    <w:rsid w:val="007928CD"/>
    <w:rsid w:val="007B5E96"/>
    <w:rsid w:val="007D7832"/>
    <w:rsid w:val="00820F35"/>
    <w:rsid w:val="008210AE"/>
    <w:rsid w:val="0083394B"/>
    <w:rsid w:val="008B23D8"/>
    <w:rsid w:val="008B5CF5"/>
    <w:rsid w:val="00914008"/>
    <w:rsid w:val="009220FB"/>
    <w:rsid w:val="009A7EE3"/>
    <w:rsid w:val="009B64A2"/>
    <w:rsid w:val="009E2639"/>
    <w:rsid w:val="00AA5FF4"/>
    <w:rsid w:val="00B73013"/>
    <w:rsid w:val="00B8798B"/>
    <w:rsid w:val="00CF7621"/>
    <w:rsid w:val="00D01F37"/>
    <w:rsid w:val="00D05F30"/>
    <w:rsid w:val="00D070A0"/>
    <w:rsid w:val="00DC3EEC"/>
    <w:rsid w:val="00DE2E26"/>
    <w:rsid w:val="00E228FD"/>
    <w:rsid w:val="00E70E8D"/>
    <w:rsid w:val="00E834F9"/>
    <w:rsid w:val="0C661513"/>
    <w:rsid w:val="0D9D4138"/>
    <w:rsid w:val="185071BF"/>
    <w:rsid w:val="1D6E7767"/>
    <w:rsid w:val="23536610"/>
    <w:rsid w:val="25481D25"/>
    <w:rsid w:val="259A60D2"/>
    <w:rsid w:val="291D319A"/>
    <w:rsid w:val="2DFA46AF"/>
    <w:rsid w:val="3220236E"/>
    <w:rsid w:val="3A8D6C8D"/>
    <w:rsid w:val="418076FD"/>
    <w:rsid w:val="440015ED"/>
    <w:rsid w:val="47A95DE2"/>
    <w:rsid w:val="65477E7D"/>
    <w:rsid w:val="73221F8B"/>
    <w:rsid w:val="760A22AD"/>
    <w:rsid w:val="7A6A2C7E"/>
    <w:rsid w:val="7CDB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eastAsia="宋体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eastAsia="宋体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323</Words>
  <Characters>1894</Characters>
  <Lines>16</Lines>
  <Paragraphs>4</Paragraphs>
  <TotalTime>1</TotalTime>
  <ScaleCrop>false</ScaleCrop>
  <LinksUpToDate>false</LinksUpToDate>
  <CharactersWithSpaces>2157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2025-08-19T09:42:00Z</dcterms:created>
  <dc:creator>pu miao</dc:creator>
  <cp:lastModifiedBy>Hairat(艾力)</cp:lastModifiedBy>
  <dcterms:modified xsi:type="dcterms:W3CDTF">2025-09-13T14:56:17Z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35B4D9CDA0BA42EFA68726BCA4F1E6A6</vt:lpwstr>
  </property>
  <property fmtid="{D5CDD505-2E9C-101B-9397-08002B2CF9AE}" pid="4" name="KSOTemplateDocerSaveRecord">
    <vt:lpwstr>eyJoZGlkIjoiMzEwNTM5NzYwMDRjMzkwZTVkZjY2ODkwMGIxNGU0OTUiLCJ1c2VySWQiOiIxMTA1MDA2MTc3In0=</vt:lpwstr>
  </property>
</Properties>
</file>