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2333" w14:textId="77777777" w:rsidR="008078B6" w:rsidRDefault="00000000">
      <w:pPr>
        <w:spacing w:after="240"/>
        <w:jc w:val="center"/>
      </w:pPr>
      <w:r>
        <w:rPr>
          <w:rFonts w:ascii="新細明體" w:eastAsia="新細明體" w:hAnsi="新細明體" w:cs="新細明體"/>
          <w:b/>
          <w:bCs/>
          <w:sz w:val="32"/>
          <w:szCs w:val="32"/>
        </w:rPr>
        <w:t>基於多階段獎勵塑形的機器人插花任務強化學習</w:t>
      </w:r>
    </w:p>
    <w:p w14:paraId="5A6747DF" w14:textId="77777777" w:rsidR="008078B6" w:rsidRDefault="00000000">
      <w:pPr>
        <w:spacing w:after="360"/>
        <w:jc w:val="center"/>
      </w:pPr>
      <w:r>
        <w:rPr>
          <w:rFonts w:ascii="新細明體" w:eastAsia="新細明體" w:hAnsi="新細明體" w:cs="新細明體"/>
          <w:i/>
          <w:iCs/>
          <w:sz w:val="21"/>
          <w:szCs w:val="21"/>
        </w:rPr>
        <w:t>Multi-Stage Reward Shaping for Robotic Flower Insertion via Reinforcement Learning</w:t>
      </w:r>
    </w:p>
    <w:p w14:paraId="473D28E0" w14:textId="77777777" w:rsidR="008078B6" w:rsidRDefault="00000000">
      <w:pPr>
        <w:spacing w:after="160"/>
        <w:jc w:val="both"/>
      </w:pPr>
      <w:r>
        <w:rPr>
          <w:rFonts w:ascii="新細明體" w:eastAsia="新細明體" w:hAnsi="新細明體" w:cs="新細明體"/>
          <w:b/>
          <w:bCs/>
          <w:i/>
          <w:iCs/>
          <w:sz w:val="21"/>
          <w:szCs w:val="21"/>
        </w:rPr>
        <w:t>摘要</w:t>
      </w:r>
      <w:proofErr w:type="gramStart"/>
      <w:r>
        <w:rPr>
          <w:rFonts w:ascii="新細明體" w:eastAsia="新細明體" w:hAnsi="新細明體" w:cs="新細明體"/>
          <w:b/>
          <w:bCs/>
          <w:i/>
          <w:iCs/>
          <w:sz w:val="21"/>
          <w:szCs w:val="21"/>
        </w:rPr>
        <w:t>—</w:t>
      </w:r>
      <w:proofErr w:type="gramEnd"/>
      <w:r>
        <w:rPr>
          <w:rFonts w:ascii="新細明體" w:eastAsia="新細明體" w:hAnsi="新細明體" w:cs="新細明體"/>
          <w:sz w:val="21"/>
          <w:szCs w:val="21"/>
        </w:rPr>
        <w:t>本研究針對</w:t>
      </w:r>
      <w:proofErr w:type="gramStart"/>
      <w:r>
        <w:rPr>
          <w:rFonts w:ascii="新細明體" w:eastAsia="新細明體" w:hAnsi="新細明體" w:cs="新細明體"/>
          <w:sz w:val="21"/>
          <w:szCs w:val="21"/>
        </w:rPr>
        <w:t>機械臂長時序</w:t>
      </w:r>
      <w:proofErr w:type="gramEnd"/>
      <w:r>
        <w:rPr>
          <w:rFonts w:ascii="新細明體" w:eastAsia="新細明體" w:hAnsi="新細明體" w:cs="新細明體"/>
          <w:sz w:val="21"/>
          <w:szCs w:val="21"/>
        </w:rPr>
        <w:t>（long-horizon）操作任務中常見的稀疏獎勵問題，以「機器人插花」為案例，提出一套基於多階段獎勵塑形（Multi-Stage Reward Shaping）的強化學習訓練框架。此任務要求機械臂依序完成花朵接近與抓取、花朵搬運與姿態調整、以及插入瓶口三個子任務，若僅以最終插入成功與否作為獎勵訊號，策略將難以</w:t>
      </w:r>
      <w:proofErr w:type="gramStart"/>
      <w:r>
        <w:rPr>
          <w:rFonts w:ascii="新細明體" w:eastAsia="新細明體" w:hAnsi="新細明體" w:cs="新細明體"/>
          <w:sz w:val="21"/>
          <w:szCs w:val="21"/>
        </w:rPr>
        <w:t>在高維動作</w:t>
      </w:r>
      <w:proofErr w:type="gramEnd"/>
      <w:r>
        <w:rPr>
          <w:rFonts w:ascii="新細明體" w:eastAsia="新細明體" w:hAnsi="新細明體" w:cs="新細明體"/>
          <w:sz w:val="21"/>
          <w:szCs w:val="21"/>
        </w:rPr>
        <w:t>空間中有效探索並收斂。為解決此問題，本研究將整體任務拆解為三個具明確語意的子階段，並針對各階段設計對應的密集中間獎勵（dense sub-rewards），引導機械臂逐步學習接近、對齊、抓取、舉起、搬運與插入等子技能。階段轉換採用事件驅動（event-driven）狀態機設計：每一階段配置獨立的步數預算，當該階段完成條件被觸發時立即切換至下一階段並將剩餘步數轉換為速度獎勵，鼓勵策略盡早完成當前子任務；</w:t>
      </w:r>
      <w:proofErr w:type="gramStart"/>
      <w:r>
        <w:rPr>
          <w:rFonts w:ascii="新細明體" w:eastAsia="新細明體" w:hAnsi="新細明體" w:cs="新細明體"/>
          <w:sz w:val="21"/>
          <w:szCs w:val="21"/>
        </w:rPr>
        <w:t>反之，</w:t>
      </w:r>
      <w:proofErr w:type="gramEnd"/>
      <w:r>
        <w:rPr>
          <w:rFonts w:ascii="新細明體" w:eastAsia="新細明體" w:hAnsi="新細明體" w:cs="新細明體"/>
          <w:sz w:val="21"/>
          <w:szCs w:val="21"/>
        </w:rPr>
        <w:t xml:space="preserve">若在預算內未能完成，則觸發該階段專屬的懲罰與回合終止，形成逐階段的課程式學習訊號。本系統於 Isaac Lab 模擬環境中，使用 Franka Panda </w:t>
      </w:r>
      <w:proofErr w:type="gramStart"/>
      <w:r>
        <w:rPr>
          <w:rFonts w:ascii="新細明體" w:eastAsia="新細明體" w:hAnsi="新細明體" w:cs="新細明體"/>
          <w:sz w:val="21"/>
          <w:szCs w:val="21"/>
        </w:rPr>
        <w:t>機械臂與</w:t>
      </w:r>
      <w:proofErr w:type="gramEnd"/>
      <w:r>
        <w:rPr>
          <w:rFonts w:ascii="新細明體" w:eastAsia="新細明體" w:hAnsi="新細明體" w:cs="新細明體"/>
          <w:sz w:val="21"/>
          <w:szCs w:val="21"/>
        </w:rPr>
        <w:t xml:space="preserve"> PPO（Proximal Policy Optimization）演算法進行大規模平行訓練。本研究之方法論可作為其他多步驟精細操作任務在強化學習</w:t>
      </w:r>
      <w:proofErr w:type="gramStart"/>
      <w:r>
        <w:rPr>
          <w:rFonts w:ascii="新細明體" w:eastAsia="新細明體" w:hAnsi="新細明體" w:cs="新細明體"/>
          <w:sz w:val="21"/>
          <w:szCs w:val="21"/>
        </w:rPr>
        <w:t>訓練中緩解</w:t>
      </w:r>
      <w:proofErr w:type="gramEnd"/>
      <w:r>
        <w:rPr>
          <w:rFonts w:ascii="新細明體" w:eastAsia="新細明體" w:hAnsi="新細明體" w:cs="新細明體"/>
          <w:sz w:val="21"/>
          <w:szCs w:val="21"/>
        </w:rPr>
        <w:t>稀疏獎勵問題的參考架構。</w:t>
      </w:r>
    </w:p>
    <w:p w14:paraId="105604AD" w14:textId="77777777" w:rsidR="008078B6" w:rsidRDefault="00000000">
      <w:pPr>
        <w:spacing w:after="200"/>
      </w:pPr>
      <w:r>
        <w:rPr>
          <w:rFonts w:ascii="新細明體" w:eastAsia="新細明體" w:hAnsi="新細明體" w:cs="新細明體"/>
          <w:b/>
          <w:bCs/>
          <w:i/>
          <w:iCs/>
          <w:sz w:val="21"/>
          <w:szCs w:val="21"/>
        </w:rPr>
        <w:t>關鍵詞</w:t>
      </w:r>
      <w:proofErr w:type="gramStart"/>
      <w:r>
        <w:rPr>
          <w:rFonts w:ascii="新細明體" w:eastAsia="新細明體" w:hAnsi="新細明體" w:cs="新細明體"/>
          <w:b/>
          <w:bCs/>
          <w:i/>
          <w:iCs/>
          <w:sz w:val="21"/>
          <w:szCs w:val="21"/>
        </w:rPr>
        <w:t>—</w:t>
      </w:r>
      <w:proofErr w:type="gramEnd"/>
      <w:r>
        <w:rPr>
          <w:rFonts w:ascii="新細明體" w:eastAsia="新細明體" w:hAnsi="新細明體" w:cs="新細明體"/>
          <w:i/>
          <w:iCs/>
          <w:sz w:val="21"/>
          <w:szCs w:val="21"/>
        </w:rPr>
        <w:t>強化學習；獎勵塑形；機械臂操作；多階段學習；稀疏獎勵</w:t>
      </w:r>
    </w:p>
    <w:p w14:paraId="4EFE1885" w14:textId="77777777" w:rsidR="008078B6" w:rsidRDefault="008078B6">
      <w:pPr>
        <w:sectPr w:rsidR="008078B6">
          <w:pgSz w:w="12240" w:h="15840"/>
          <w:pgMar w:top="1080" w:right="900" w:bottom="1440" w:left="900" w:header="708" w:footer="708" w:gutter="0"/>
          <w:cols w:space="720"/>
          <w:docGrid w:linePitch="360"/>
        </w:sectPr>
      </w:pPr>
    </w:p>
    <w:p w14:paraId="04FF7E96" w14:textId="77777777" w:rsidR="008078B6" w:rsidRDefault="00000000">
      <w:pPr>
        <w:spacing w:before="280" w:after="160"/>
        <w:jc w:val="center"/>
      </w:pPr>
      <w:r>
        <w:rPr>
          <w:rFonts w:ascii="新細明體" w:eastAsia="新細明體" w:hAnsi="新細明體" w:cs="新細明體"/>
          <w:b/>
          <w:bCs/>
          <w:sz w:val="21"/>
          <w:szCs w:val="21"/>
        </w:rPr>
        <w:lastRenderedPageBreak/>
        <w:t>I. 緒論</w:t>
      </w:r>
    </w:p>
    <w:p w14:paraId="58A7F2EB" w14:textId="77777777" w:rsidR="008078B6" w:rsidRDefault="00000000">
      <w:pPr>
        <w:spacing w:before="200" w:after="120"/>
      </w:pPr>
      <w:r>
        <w:rPr>
          <w:rFonts w:ascii="新細明體" w:eastAsia="新細明體" w:hAnsi="新細明體" w:cs="新細明體"/>
          <w:b/>
          <w:bCs/>
          <w:i/>
          <w:iCs/>
          <w:sz w:val="21"/>
          <w:szCs w:val="21"/>
        </w:rPr>
        <w:t>A. 研究背景</w:t>
      </w:r>
    </w:p>
    <w:p w14:paraId="3E1F0494" w14:textId="77777777" w:rsidR="008078B6" w:rsidRDefault="00000000">
      <w:pPr>
        <w:spacing w:after="160" w:line="276" w:lineRule="auto"/>
        <w:jc w:val="both"/>
      </w:pPr>
      <w:r>
        <w:rPr>
          <w:rFonts w:ascii="新細明體" w:eastAsia="新細明體" w:hAnsi="新細明體" w:cs="新細明體"/>
          <w:sz w:val="21"/>
          <w:szCs w:val="21"/>
        </w:rPr>
        <w:t>近年來，深度強化學習（Deep Reinforcement Learning, DRL）在機械臂操作任務中展現出顯著的成效，從基本的抓取（grasping）、堆疊（stacking）到精細裝配（assembly）等任務，皆能透過與環境的大量互動學習出複雜的控制策略，無需仰賴人工設計的軌跡規劃或逆向運動學求解。然而，隨著任務複雜度提升，尤其是需要多個子動作依序完成的長時序任務（long-horizon task），強化學習訓練往往面臨嚴重的稀疏獎勵問題（sparse reward problem）：若獎勵訊號僅在任務最終成功時給予，策略在高維連續動作空間中難以透過隨機探索偶然觸發成功條件，導致訓練效率低下甚至無法收斂。</w:t>
      </w:r>
    </w:p>
    <w:p w14:paraId="46FF6820" w14:textId="77777777" w:rsidR="008078B6" w:rsidRDefault="00000000">
      <w:pPr>
        <w:spacing w:before="200" w:after="120"/>
      </w:pPr>
      <w:r>
        <w:rPr>
          <w:rFonts w:ascii="新細明體" w:eastAsia="新細明體" w:hAnsi="新細明體" w:cs="新細明體"/>
          <w:b/>
          <w:bCs/>
          <w:i/>
          <w:iCs/>
          <w:sz w:val="21"/>
          <w:szCs w:val="21"/>
        </w:rPr>
        <w:t>B. 問題動機</w:t>
      </w:r>
    </w:p>
    <w:p w14:paraId="4F4A5C9B" w14:textId="77777777" w:rsidR="008078B6" w:rsidRDefault="00000000">
      <w:pPr>
        <w:spacing w:after="160" w:line="276" w:lineRule="auto"/>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新細明體" w:eastAsia="新細明體" w:hAnsi="新細明體" w:cs="新細明體"/>
          <w:sz w:val="21"/>
          <w:szCs w:val="21"/>
        </w:rPr>
        <w:t>本研究以「機器人插花」任務作為案例：機械臂須先接近並抓取花朵、將其舉起後搬運至瓶口位置，並將花朵準確插入瓶內。此任務涵蓋三種性質迥異的子技能——精細抓取、姿態調整搬運、精準插入——若僅以「花朵成功插入瓶內」作為唯一獎勵訊號，策略幾乎不可能在合理訓練時間內學會如此長的動作鏈。此外，若獎勵設計不當，容易產生獎勵駭客（reward hacking）現象 [1]，即策略學會鑽營獎勵函數漏洞而非真正完成任務語意 [2]。</w:t>
      </w:r>
    </w:p>
    <w:p w14:paraId="72CF7CFF" w14:textId="77777777" w:rsidR="008078B6" w:rsidRDefault="00000000">
      <w:pPr>
        <w:spacing w:before="200" w:after="120"/>
      </w:pPr>
      <w:r>
        <w:rPr>
          <w:rFonts w:ascii="新細明體" w:eastAsia="新細明體" w:hAnsi="新細明體" w:cs="新細明體"/>
          <w:b/>
          <w:bCs/>
          <w:i/>
          <w:iCs/>
          <w:sz w:val="21"/>
          <w:szCs w:val="21"/>
        </w:rPr>
        <w:t>C. 研究方法概述</w:t>
      </w:r>
    </w:p>
    <w:p w14:paraId="1CFB48E9" w14:textId="77777777" w:rsidR="008078B6" w:rsidRDefault="00000000">
      <w:pPr>
        <w:spacing w:after="160" w:line="276" w:lineRule="auto"/>
        <w:jc w:val="both"/>
      </w:pPr>
      <w:proofErr w:type="gramStart"/>
      <w:proofErr w:type="gramEnd"/>
      <w:proofErr w:type="gramStart"/>
      <w:proofErr w:type="gramEnd"/>
      <w:r>
        <w:rPr>
          <w:rFonts w:ascii="新細明體" w:eastAsia="新細明體" w:hAnsi="新細明體" w:cs="新細明體"/>
          <w:sz w:val="21"/>
          <w:szCs w:val="21"/>
        </w:rPr>
        <w:t>為緩解上述問題，本研究提出一套多階段獎勵塑形（Multi-Stage Reward Shaping）框架 [3]：將整體任務依語意拆解為三個子階段（接近抓取、搬運對齊、插入），並為每個階段設計對應的密集中間獎勵，引導策略逐步學習各子技能。階段之間的轉換採用事件驅動狀態機（event-driven state machine）設計，取代傳統固定時間窗的階段劃分：每一階段配置獨立的步數預算，一旦該階段完成條件被觸發即刻切換至下一階段，並將節省下來的步數轉換為速度獎勵；若在預算內未能完成，則觸發階段專屬的懲罰與回合終止。此設計本質上形成一種隱式課程學習（implicit curriculum learning）機制，讓策略在訓練初期先專注於較簡單的子任務，逐步過渡至更困難的下游任務。</w:t>
      </w:r>
    </w:p>
    <w:p w14:paraId="6F28D94D" w14:textId="77777777" w:rsidR="008078B6" w:rsidRDefault="00000000">
      <w:pPr>
        <w:spacing w:before="200" w:after="120"/>
      </w:pPr>
      <w:r>
        <w:rPr>
          <w:rFonts w:ascii="新細明體" w:eastAsia="新細明體" w:hAnsi="新細明體" w:cs="新細明體"/>
          <w:b/>
          <w:bCs/>
          <w:i/>
          <w:iCs/>
          <w:sz w:val="21"/>
          <w:szCs w:val="21"/>
        </w:rPr>
        <w:t>D. 研究貢獻</w:t>
      </w:r>
    </w:p>
    <w:p w14:paraId="0D2543D4" w14:textId="77777777" w:rsidR="008078B6" w:rsidRDefault="00000000">
      <w:pPr>
        <w:spacing w:after="160" w:line="276" w:lineRule="auto"/>
        <w:jc w:val="both"/>
      </w:pPr>
      <w:r>
        <w:rPr>
          <w:rFonts w:ascii="新細明體" w:eastAsia="新細明體" w:hAnsi="新細明體" w:cs="新細明體"/>
          <w:sz w:val="21"/>
          <w:szCs w:val="21"/>
        </w:rPr>
        <w:t>本研究之主要貢獻如下：</w:t>
      </w:r>
    </w:p>
    <w:p w14:paraId="69A7E25F" w14:textId="77777777" w:rsidR="008078B6" w:rsidRDefault="00000000">
      <w:pPr>
        <w:spacing w:after="160" w:line="276" w:lineRule="auto"/>
        <w:jc w:val="both"/>
      </w:pPr>
      <w:r>
        <w:rPr>
          <w:rFonts w:ascii="新細明體" w:eastAsia="新細明體" w:hAnsi="新細明體" w:cs="新細明體"/>
          <w:sz w:val="21"/>
          <w:szCs w:val="21"/>
        </w:rPr>
        <w:t>1)</w:t>
      </w:r>
      <w:r>
        <w:rPr>
          <w:rFonts w:ascii="新細明體" w:eastAsia="新細明體" w:hAnsi="新細明體" w:cs="新細明體"/>
          <w:sz w:val="21"/>
          <w:szCs w:val="21"/>
        </w:rPr>
        <w:tab/>
        <w:t>提出一套適用於多步驟精細操作任務的多階段獎勵塑形框架，</w:t>
      </w:r>
      <w:proofErr w:type="gramStart"/>
      <w:r>
        <w:rPr>
          <w:rFonts w:ascii="新細明體" w:eastAsia="新細明體" w:hAnsi="新細明體" w:cs="新細明體"/>
          <w:sz w:val="21"/>
          <w:szCs w:val="21"/>
        </w:rPr>
        <w:t>有效緩</w:t>
      </w:r>
      <w:proofErr w:type="gramEnd"/>
      <w:r>
        <w:rPr>
          <w:rFonts w:ascii="新細明體" w:eastAsia="新細明體" w:hAnsi="新細明體" w:cs="新細明體"/>
          <w:sz w:val="21"/>
          <w:szCs w:val="21"/>
        </w:rPr>
        <w:t>解稀疏獎勵問題；</w:t>
      </w:r>
    </w:p>
    <w:p w14:paraId="68A445DA" w14:textId="77777777" w:rsidR="008078B6" w:rsidRDefault="00000000">
      <w:pPr>
        <w:spacing w:after="160" w:line="276" w:lineRule="auto"/>
        <w:jc w:val="both"/>
      </w:pPr>
      <w:r>
        <w:rPr>
          <w:rFonts w:ascii="新細明體" w:eastAsia="新細明體" w:hAnsi="新細明體" w:cs="新細明體"/>
          <w:sz w:val="21"/>
          <w:szCs w:val="21"/>
        </w:rPr>
        <w:t>2)</w:t>
      </w:r>
      <w:r>
        <w:rPr>
          <w:rFonts w:ascii="新細明體" w:eastAsia="新細明體" w:hAnsi="新細明體" w:cs="新細明體"/>
          <w:sz w:val="21"/>
          <w:szCs w:val="21"/>
        </w:rPr>
        <w:tab/>
        <w:t>設計事件驅動的階段轉換狀態機，相較固定時間窗劃分更具彈性，並提供「越早完成、獎勵越高」的速度誘因；</w:t>
      </w:r>
    </w:p>
    <w:p w14:paraId="0118B941" w14:textId="77777777" w:rsidR="008078B6" w:rsidRDefault="00000000">
      <w:pPr>
        <w:spacing w:after="160" w:line="276" w:lineRule="auto"/>
        <w:jc w:val="both"/>
      </w:pPr>
      <w:r>
        <w:rPr>
          <w:rFonts w:ascii="新細明體" w:eastAsia="新細明體" w:hAnsi="新細明體" w:cs="新細明體"/>
          <w:sz w:val="21"/>
          <w:szCs w:val="21"/>
        </w:rPr>
        <w:t>3)</w:t>
      </w:r>
      <w:r>
        <w:rPr>
          <w:rFonts w:ascii="新細明體" w:eastAsia="新細明體" w:hAnsi="新細明體" w:cs="新細明體"/>
          <w:sz w:val="21"/>
          <w:szCs w:val="21"/>
        </w:rPr>
        <w:tab/>
        <w:t xml:space="preserve">於 Isaac Lab 模擬平台上，使用 Franka Panda </w:t>
      </w:r>
      <w:proofErr w:type="gramStart"/>
      <w:r>
        <w:rPr>
          <w:rFonts w:ascii="新細明體" w:eastAsia="新細明體" w:hAnsi="新細明體" w:cs="新細明體"/>
          <w:sz w:val="21"/>
          <w:szCs w:val="21"/>
        </w:rPr>
        <w:t>機械臂與</w:t>
      </w:r>
      <w:proofErr w:type="gramEnd"/>
      <w:r>
        <w:rPr>
          <w:rFonts w:ascii="新細明體" w:eastAsia="新細明體" w:hAnsi="新細明體" w:cs="新細明體"/>
          <w:sz w:val="21"/>
          <w:szCs w:val="21"/>
        </w:rPr>
        <w:t xml:space="preserve"> PPO 演算法完成大規模平行訓練驗證；</w:t>
      </w:r>
    </w:p>
    <w:p w14:paraId="2C87AC29" w14:textId="77777777" w:rsidR="008078B6" w:rsidRDefault="00000000">
      <w:pPr>
        <w:spacing w:after="160" w:line="276" w:lineRule="auto"/>
        <w:jc w:val="both"/>
      </w:pPr>
      <w:r>
        <w:rPr>
          <w:rFonts w:ascii="新細明體" w:eastAsia="新細明體" w:hAnsi="新細明體" w:cs="新細明體"/>
          <w:sz w:val="21"/>
          <w:szCs w:val="21"/>
        </w:rPr>
        <w:t>4)</w:t>
      </w:r>
      <w:r>
        <w:rPr>
          <w:rFonts w:ascii="新細明體" w:eastAsia="新細明體" w:hAnsi="新細明體" w:cs="新細明體"/>
          <w:sz w:val="21"/>
          <w:szCs w:val="21"/>
        </w:rPr>
        <w:tab/>
        <w:t>針對獎勵函數命名規範、階段隔離、邊界條件處理等工程實務議題提出具體解法，可作為後續類似任務開發之參考。</w:t>
      </w:r>
    </w:p>
    <w:p w14:paraId="6BE4678D" w14:textId="77777777" w:rsidR="008078B6" w:rsidRDefault="00000000">
      <w:pPr>
        <w:spacing w:before="200" w:after="120"/>
      </w:pPr>
      <w:r>
        <w:rPr>
          <w:rFonts w:ascii="新細明體" w:eastAsia="新細明體" w:hAnsi="新細明體" w:cs="新細明體"/>
          <w:b/>
          <w:bCs/>
          <w:i/>
          <w:iCs/>
          <w:sz w:val="21"/>
          <w:szCs w:val="21"/>
        </w:rPr>
        <w:t>E. 論文架構</w:t>
      </w:r>
    </w:p>
    <w:p w14:paraId="34657C94" w14:textId="77777777" w:rsidR="008078B6" w:rsidRDefault="00000000">
      <w:pPr>
        <w:spacing w:after="160" w:line="276" w:lineRule="auto"/>
        <w:jc w:val="both"/>
      </w:pPr>
      <w:r>
        <w:rPr>
          <w:rFonts w:ascii="新細明體" w:eastAsia="新細明體" w:hAnsi="新細明體" w:cs="新細明體"/>
          <w:sz w:val="21"/>
          <w:szCs w:val="21"/>
        </w:rPr>
        <w:t>本文其餘章節安排如下：第二章說明本研究之系統設計，包含任務環境、階段劃分方法與狀態機設計；第三章詳述獎勵函數設計；第四章說明實驗設置與訓練配置並呈現實驗結果與討論；第五章總結本研究並提出未來工作方向。</w:t>
      </w:r>
    </w:p>
    <w:p w14:paraId="34690EA9" w14:textId="77777777" w:rsidR="008078B6" w:rsidRDefault="00000000">
      <w:pPr>
        <w:spacing w:before="280" w:after="160"/>
        <w:jc w:val="center"/>
      </w:pPr>
      <w:r>
        <w:rPr>
          <w:rFonts w:ascii="新細明體" w:eastAsia="新細明體" w:hAnsi="新細明體" w:cs="新細明體"/>
          <w:b/>
          <w:bCs/>
          <w:sz w:val="21"/>
          <w:szCs w:val="21"/>
        </w:rPr>
        <w:t>II. 系統設計</w:t>
      </w:r>
    </w:p>
    <w:p w14:paraId="3D643B84" w14:textId="77777777" w:rsidR="008078B6" w:rsidRDefault="00000000">
      <w:pPr>
        <w:spacing w:before="200" w:after="120"/>
      </w:pPr>
      <w:r>
        <w:rPr>
          <w:rFonts w:ascii="新細明體" w:eastAsia="新細明體" w:hAnsi="新細明體" w:cs="新細明體"/>
          <w:b/>
          <w:bCs/>
          <w:i/>
          <w:iCs/>
          <w:sz w:val="21"/>
          <w:szCs w:val="21"/>
        </w:rPr>
        <w:t>A. 任務環境</w:t>
      </w:r>
    </w:p>
    <w:p w14:paraId="494C13CA" w14:textId="77977162" w:rsidR="008078B6" w:rsidRPr="004E5CC6" w:rsidRDefault="004E5CC6">
      <w:pPr>
        <w:spacing w:after="160"/>
        <w:ind w:firstLine="420"/>
      </w:pPr>
      <w:r w:rsidRPr="004E5CC6">
        <w:rPr>
          <w:rFonts w:ascii="新細明體" w:eastAsia="新細明體" w:hAnsi="新細明體" w:cs="新細明體" w:hint="eastAsia"/>
          <w:sz w:val="21"/>
          <w:szCs w:val="21"/>
        </w:rPr>
        <w:t>本實驗在Nvidia Isaac lab使用PPO算法進行訓練</w:t>
      </w:r>
      <w:r>
        <w:rPr>
          <w:rFonts w:ascii="新細明體" w:eastAsia="新細明體" w:hAnsi="新細明體" w:cs="新細明體" w:hint="eastAsia"/>
          <w:sz w:val="21"/>
          <w:szCs w:val="21"/>
        </w:rPr>
        <w:t>，在</w:t>
      </w:r>
    </w:p>
    <w:p w14:paraId="06A00840" w14:textId="77777777" w:rsidR="008078B6" w:rsidRDefault="00000000">
      <w:pPr>
        <w:spacing w:before="200" w:after="120"/>
      </w:pPr>
      <w:r>
        <w:rPr>
          <w:rFonts w:ascii="新細明體" w:eastAsia="新細明體" w:hAnsi="新細明體" w:cs="新細明體"/>
          <w:b/>
          <w:bCs/>
          <w:i/>
          <w:iCs/>
          <w:sz w:val="21"/>
          <w:szCs w:val="21"/>
        </w:rPr>
        <w:t>B. 多階段任務拆解</w:t>
      </w:r>
    </w:p>
    <w:p w14:paraId="446926E3"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待撰寫：Stage 0／1／2 各階段語意定義與完成條件</w:t>
      </w:r>
      <w:proofErr w:type="gramStart"/>
      <w:r>
        <w:rPr>
          <w:rFonts w:ascii="新細明體" w:eastAsia="新細明體" w:hAnsi="新細明體" w:cs="新細明體"/>
          <w:i/>
          <w:iCs/>
          <w:color w:val="808080"/>
          <w:sz w:val="21"/>
          <w:szCs w:val="21"/>
        </w:rPr>
        <w:t>）</w:t>
      </w:r>
      <w:proofErr w:type="gramEnd"/>
    </w:p>
    <w:p w14:paraId="1105AFAE" w14:textId="77777777" w:rsidR="008078B6" w:rsidRDefault="00000000">
      <w:pPr>
        <w:spacing w:before="200" w:after="120"/>
      </w:pPr>
      <w:r>
        <w:rPr>
          <w:rFonts w:ascii="新細明體" w:eastAsia="新細明體" w:hAnsi="新細明體" w:cs="新細明體"/>
          <w:b/>
          <w:bCs/>
          <w:i/>
          <w:iCs/>
          <w:sz w:val="21"/>
          <w:szCs w:val="21"/>
        </w:rPr>
        <w:t>C. 事件驅動階段轉換狀態機</w:t>
      </w:r>
    </w:p>
    <w:p w14:paraId="22315831"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待撰寫：步數預算機制、提前完成即切換、超時死亡邏輯、狀態機流程圖</w:t>
      </w:r>
      <w:proofErr w:type="gramStart"/>
      <w:r>
        <w:rPr>
          <w:rFonts w:ascii="新細明體" w:eastAsia="新細明體" w:hAnsi="新細明體" w:cs="新細明體"/>
          <w:i/>
          <w:iCs/>
          <w:color w:val="808080"/>
          <w:sz w:val="21"/>
          <w:szCs w:val="21"/>
        </w:rPr>
        <w:t>）</w:t>
      </w:r>
      <w:proofErr w:type="gramEnd"/>
    </w:p>
    <w:p w14:paraId="5A110932" w14:textId="77777777" w:rsidR="008078B6" w:rsidRDefault="00000000">
      <w:pPr>
        <w:spacing w:before="280" w:after="160"/>
        <w:jc w:val="center"/>
      </w:pPr>
      <w:r>
        <w:rPr>
          <w:rFonts w:ascii="新細明體" w:eastAsia="新細明體" w:hAnsi="新細明體" w:cs="新細明體"/>
          <w:b/>
          <w:bCs/>
          <w:sz w:val="21"/>
          <w:szCs w:val="21"/>
        </w:rPr>
        <w:t>III. 獎勵函數設計</w:t>
      </w:r>
    </w:p>
    <w:p w14:paraId="5A9AA23F" w14:textId="77777777" w:rsidR="008078B6" w:rsidRDefault="00000000">
      <w:pPr>
        <w:spacing w:before="200" w:after="120"/>
      </w:pPr>
      <w:r>
        <w:rPr>
          <w:rFonts w:ascii="新細明體" w:eastAsia="新細明體" w:hAnsi="新細明體" w:cs="新細明體"/>
          <w:b/>
          <w:bCs/>
          <w:i/>
          <w:iCs/>
          <w:sz w:val="21"/>
          <w:szCs w:val="21"/>
        </w:rPr>
        <w:t>A. 各階段密集中間獎勵</w:t>
      </w:r>
    </w:p>
    <w:p w14:paraId="794F37FB"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待撰寫：平方反比距離獎勵公式、姿態對齊獎勵公式等數學表示</w:t>
      </w:r>
      <w:proofErr w:type="gramStart"/>
      <w:r>
        <w:rPr>
          <w:rFonts w:ascii="新細明體" w:eastAsia="新細明體" w:hAnsi="新細明體" w:cs="新細明體"/>
          <w:i/>
          <w:iCs/>
          <w:color w:val="808080"/>
          <w:sz w:val="21"/>
          <w:szCs w:val="21"/>
        </w:rPr>
        <w:t>）</w:t>
      </w:r>
      <w:proofErr w:type="gramEnd"/>
    </w:p>
    <w:p w14:paraId="6F238401" w14:textId="77777777" w:rsidR="008078B6" w:rsidRDefault="00000000">
      <w:pPr>
        <w:spacing w:before="200" w:after="120"/>
      </w:pPr>
      <w:r>
        <w:rPr>
          <w:rFonts w:ascii="新細明體" w:eastAsia="新細明體" w:hAnsi="新細明體" w:cs="新細明體"/>
          <w:b/>
          <w:bCs/>
          <w:i/>
          <w:iCs/>
          <w:sz w:val="21"/>
          <w:szCs w:val="21"/>
        </w:rPr>
        <w:t>B. 階段完成獎勵</w:t>
      </w:r>
    </w:p>
    <w:p w14:paraId="408C02E3"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待撰寫：剩餘步數轉換為 bonus 之公式與設計動機</w:t>
      </w:r>
      <w:proofErr w:type="gramStart"/>
      <w:r>
        <w:rPr>
          <w:rFonts w:ascii="新細明體" w:eastAsia="新細明體" w:hAnsi="新細明體" w:cs="新細明體"/>
          <w:i/>
          <w:iCs/>
          <w:color w:val="808080"/>
          <w:sz w:val="21"/>
          <w:szCs w:val="21"/>
        </w:rPr>
        <w:t>）</w:t>
      </w:r>
      <w:proofErr w:type="gramEnd"/>
    </w:p>
    <w:p w14:paraId="5657A74A" w14:textId="77777777" w:rsidR="008078B6" w:rsidRDefault="00000000">
      <w:pPr>
        <w:spacing w:before="200" w:after="120"/>
      </w:pPr>
      <w:r>
        <w:rPr>
          <w:rFonts w:ascii="新細明體" w:eastAsia="新細明體" w:hAnsi="新細明體" w:cs="新細明體"/>
          <w:b/>
          <w:bCs/>
          <w:i/>
          <w:iCs/>
          <w:sz w:val="21"/>
          <w:szCs w:val="21"/>
        </w:rPr>
        <w:lastRenderedPageBreak/>
        <w:t>C. 終止懲罰設計</w:t>
      </w:r>
    </w:p>
    <w:p w14:paraId="7BB9A024"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待撰寫：各階段超時死亡懲罰權重與終止條件</w:t>
      </w:r>
      <w:proofErr w:type="gramStart"/>
      <w:r>
        <w:rPr>
          <w:rFonts w:ascii="新細明體" w:eastAsia="新細明體" w:hAnsi="新細明體" w:cs="新細明體"/>
          <w:i/>
          <w:iCs/>
          <w:color w:val="808080"/>
          <w:sz w:val="21"/>
          <w:szCs w:val="21"/>
        </w:rPr>
        <w:t>）</w:t>
      </w:r>
      <w:proofErr w:type="gramEnd"/>
    </w:p>
    <w:p w14:paraId="1B417240" w14:textId="77777777" w:rsidR="008078B6" w:rsidRDefault="00000000">
      <w:pPr>
        <w:spacing w:before="280" w:after="160"/>
        <w:jc w:val="center"/>
      </w:pPr>
      <w:r>
        <w:rPr>
          <w:rFonts w:ascii="新細明體" w:eastAsia="新細明體" w:hAnsi="新細明體" w:cs="新細明體"/>
          <w:b/>
          <w:bCs/>
          <w:sz w:val="21"/>
          <w:szCs w:val="21"/>
        </w:rPr>
        <w:t>IV. 實驗設置與結果</w:t>
      </w:r>
    </w:p>
    <w:p w14:paraId="38C8CDC1" w14:textId="77777777" w:rsidR="008078B6" w:rsidRPr="008113D2" w:rsidRDefault="00000000">
      <w:pPr>
        <w:spacing w:before="200" w:after="120"/>
      </w:pPr>
      <w:r w:rsidRPr="008113D2">
        <w:rPr>
          <w:rFonts w:ascii="新細明體" w:eastAsia="新細明體" w:hAnsi="新細明體" w:cs="新細明體"/>
          <w:sz w:val="21"/>
          <w:szCs w:val="21"/>
        </w:rPr>
        <w:t>A. 訓練設定</w:t>
      </w:r>
    </w:p>
    <w:p w14:paraId="0A8A2A0D" w14:textId="49008659" w:rsidR="008078B6" w:rsidRPr="008113D2" w:rsidRDefault="00000000">
      <w:pPr>
        <w:spacing w:after="160"/>
        <w:ind w:firstLine="420"/>
      </w:pPr>
      <w:r w:rsidRPr="008113D2">
        <w:rPr>
          <w:rFonts w:ascii="新細明體" w:eastAsia="新細明體" w:hAnsi="新細明體" w:cs="新細明體"/>
          <w:sz w:val="21"/>
          <w:szCs w:val="21"/>
        </w:rPr>
        <w:t>本研究於 Isaac Lab 模擬平台上 [7]，使用 Franka Panda 機械臂（7 自由度機械臂搭配二指夾爪）進行大規模平行訓練，平行環境數量為 1024 個，模擬頻率 60 Hz，單一回合最長 10 秒（600 步，涵蓋三階段步數預算並保留緩衝）。策略最佳化採用 PPO 演算法 [8]，透過 RSL-RL 框架實作 Actor-Critic 架構（三層全連接網路，隱藏層維度 256-128-64，ELU 激活函數），主要超參數為：clip 比例 0.2、學習率 3×10⁻⁴（adaptive schedule）、折扣因子 γ=0.99、GAE 參數 λ=0.95。每個平行環境每次 rollout 收集 192 步經驗後更新策略，本實驗共訓練 1000 個迭代。</w:t>
      </w:r>
    </w:p>
    <w:p w14:paraId="717BEC64" w14:textId="77777777" w:rsidR="008078B6" w:rsidRPr="008113D2" w:rsidRDefault="00000000">
      <w:pPr>
        <w:spacing w:before="200" w:after="120"/>
      </w:pPr>
      <w:r w:rsidRPr="008113D2">
        <w:rPr>
          <w:rFonts w:ascii="新細明體" w:eastAsia="新細明體" w:hAnsi="新細明體" w:cs="新細明體"/>
          <w:sz w:val="21"/>
          <w:szCs w:val="21"/>
        </w:rPr>
        <w:t>B. 評估指標</w:t>
      </w:r>
    </w:p>
    <w:p w14:paraId="3A28B6F5" w14:textId="77777777" w:rsidR="008078B6" w:rsidRPr="008113D2" w:rsidRDefault="00000000">
      <w:pPr>
        <w:spacing w:after="160"/>
        <w:ind w:firstLine="420"/>
      </w:pPr>
      <w:r w:rsidRPr="008113D2">
        <w:rPr>
          <w:rFonts w:ascii="新細明體" w:eastAsia="新細明體" w:hAnsi="新細明體" w:cs="新細明體"/>
          <w:sz w:val="21"/>
          <w:szCs w:val="21"/>
        </w:rPr>
        <w:t>為量化階段式獎勵塑形之成效，本研究以「事件驅動狀態機版本（With_Stage）」與「移除狀態機之扁平化基準版本（No_Stage）」為對照，比較三項訓練曲線指標：任務成功率（task_success，即 Stage 2 完成之比例）、各階段超時死亡率（s0_dead／s1_dead／s2_dead，即該階段步數預算耗盡仍未完成之比例）、以及平均回合長度（mean episode length）。</w:t>
      </w:r>
    </w:p>
    <w:p w14:paraId="46FFADF2" w14:textId="77777777" w:rsidR="008078B6" w:rsidRPr="008113D2" w:rsidRDefault="00000000">
      <w:pPr>
        <w:spacing w:before="200" w:after="120"/>
      </w:pPr>
      <w:r w:rsidRPr="008113D2">
        <w:rPr>
          <w:rFonts w:ascii="新細明體" w:eastAsia="新細明體" w:hAnsi="新細明體" w:cs="新細明體"/>
          <w:sz w:val="21"/>
          <w:szCs w:val="21"/>
        </w:rPr>
        <w:t>C. 結果與討論</w:t>
      </w:r>
    </w:p>
    <w:p w14:paraId="59C0E7B1" w14:textId="77777777" w:rsidR="008078B6" w:rsidRPr="008113D2" w:rsidRDefault="00000000">
      <w:pPr>
        <w:spacing w:after="160"/>
        <w:ind w:firstLine="420"/>
      </w:pPr>
      <w:r w:rsidRPr="008113D2">
        <w:rPr>
          <w:rFonts w:ascii="新細明體" w:eastAsia="新細明體" w:hAnsi="新細明體" w:cs="新細明體"/>
          <w:sz w:val="21"/>
          <w:szCs w:val="21"/>
        </w:rPr>
        <w:t>圖 5 至圖 9 顯示 With_Stage 與 No_Stage 之訓練曲線比較。任務成功率（圖 5）方面，With_Stage 穩定收斂至 0.99 以上，No_Stage 則全程為 0，顯示扁平化獎勵設計無法學會此長時序任務，印證稀疏獎勵問題。各階段死亡率（圖 6–8）方面，With_Stage 三項指標皆收斂至接近 0；No_Stage 則因缺乏階段判定與終止機制，收斂至一非零常數（如 s0_dead≈0.35、s1_dead≈0.65）。平均回合長度（圖 9）方面，With_Stage 由約 300 步降至約 40 步，No_Stage 則穩定維持 220–250 步，全程未見下降趨勢，與其成功率恆為 0 之結果一致。</w:t>
      </w:r>
    </w:p>
    <w:p w14:paraId="39228187" w14:textId="5493531C" w:rsidR="008078B6" w:rsidRPr="008113D2" w:rsidRDefault="00000000">
      <w:pPr>
        <w:spacing w:after="160"/>
        <w:ind w:firstLine="420"/>
      </w:pPr>
      <w:r w:rsidRPr="008113D2">
        <w:rPr>
          <w:rFonts w:ascii="新細明體" w:eastAsia="新細明體" w:hAnsi="新細明體" w:cs="新細明體"/>
          <w:sz w:val="21"/>
          <w:szCs w:val="21"/>
        </w:rPr>
        <w:t>綜合以上結果，本實驗支持本研究之核心假設：事件驅動階段式獎勵塑形設計是任務成功收斂的關鍵，移除該設計後策略無法在相同訓練資源下學會完成任務。</w:t>
      </w:r>
    </w:p>
    <w:p w14:paraId="588555C7" w14:textId="77777777" w:rsidR="008078B6" w:rsidRDefault="00000000">
      <w:pPr>
        <w:spacing w:before="280" w:after="160"/>
        <w:jc w:val="center"/>
      </w:pPr>
      <w:r>
        <w:rPr>
          <w:rFonts w:ascii="新細明體" w:eastAsia="新細明體" w:hAnsi="新細明體" w:cs="新細明體"/>
          <w:b/>
          <w:bCs/>
          <w:sz w:val="21"/>
          <w:szCs w:val="21"/>
        </w:rPr>
        <w:t>V. 結論</w:t>
      </w:r>
    </w:p>
    <w:p w14:paraId="0E38A364" w14:textId="77777777" w:rsidR="008078B6" w:rsidRDefault="00000000">
      <w:pPr>
        <w:spacing w:after="160"/>
        <w:ind w:firstLine="420"/>
      </w:pPr>
      <w:proofErr w:type="gramStart"/>
      <w:r>
        <w:rPr>
          <w:rFonts w:ascii="新細明體" w:eastAsia="新細明體" w:hAnsi="新細明體" w:cs="新細明體"/>
          <w:i/>
          <w:iCs/>
          <w:color w:val="808080"/>
          <w:sz w:val="21"/>
          <w:szCs w:val="21"/>
        </w:rPr>
        <w:t>（</w:t>
      </w:r>
      <w:proofErr w:type="gramEnd"/>
      <w:r>
        <w:rPr>
          <w:rFonts w:ascii="新細明體" w:eastAsia="新細明體" w:hAnsi="新細明體" w:cs="新細明體"/>
          <w:i/>
          <w:iCs/>
          <w:color w:val="808080"/>
          <w:sz w:val="21"/>
          <w:szCs w:val="21"/>
        </w:rPr>
        <w:t>待撰寫：總結本研究貢獻，並提出未來工作方向，例如放寬各階段完成條件、探索機制之延伸等</w:t>
      </w:r>
      <w:proofErr w:type="gramStart"/>
      <w:r>
        <w:rPr>
          <w:rFonts w:ascii="新細明體" w:eastAsia="新細明體" w:hAnsi="新細明體" w:cs="新細明體"/>
          <w:i/>
          <w:iCs/>
          <w:color w:val="808080"/>
          <w:sz w:val="21"/>
          <w:szCs w:val="21"/>
        </w:rPr>
        <w:t>）</w:t>
      </w:r>
      <w:proofErr w:type="gramEnd"/>
    </w:p>
    <w:p w14:paraId="2DE0DC9D" w14:textId="77777777" w:rsidR="008078B6" w:rsidRDefault="00000000">
      <w:pPr>
        <w:spacing w:before="280" w:after="160"/>
        <w:jc w:val="center"/>
      </w:pPr>
      <w:r>
        <w:rPr>
          <w:rFonts w:ascii="新細明體" w:eastAsia="新細明體" w:hAnsi="新細明體" w:cs="新細明體"/>
          <w:b/>
          <w:bCs/>
          <w:sz w:val="21"/>
          <w:szCs w:val="21"/>
        </w:rPr>
        <w:t>參考文獻</w:t>
      </w:r>
    </w:p>
    <w:p w14:paraId="267C5019" w14:textId="77777777" w:rsidR="008078B6" w:rsidRDefault="00000000">
      <w:pPr>
        <w:spacing w:after="120"/>
        <w:ind w:left="420" w:hanging="420"/>
      </w:pPr>
      <w:proofErr w:type="spellStart"/>
      <w:proofErr w:type="spellEnd"/>
      <w:r>
        <w:rPr>
          <w:rFonts w:ascii="新細明體" w:eastAsia="新細明體" w:hAnsi="新細明體" w:cs="新細明體"/>
          <w:sz w:val="21"/>
          <w:szCs w:val="21"/>
        </w:rPr>
        <w:t>[1] D. Amodei, C. Olah, J. Steinhardt, P. F. Christiano, J. Schulman, and D. Mané, "Concrete problems in AI safety," arXiv preprint arXiv:1606.06565, 2016.</w:t>
      </w:r>
    </w:p>
    <w:p w14:paraId="0A19997D" w14:textId="77777777" w:rsidR="008078B6" w:rsidRDefault="00000000">
      <w:pPr>
        <w:spacing w:after="120"/>
        <w:ind w:left="420" w:hanging="420"/>
      </w:pPr>
      <w:r>
        <w:rPr>
          <w:rFonts w:ascii="新細明體" w:eastAsia="新細明體" w:hAnsi="新細明體" w:cs="新細明體"/>
          <w:sz w:val="21"/>
          <w:szCs w:val="21"/>
        </w:rPr>
        <w:t>[2] J. Skalse, N. H. R. Howe, D. Krasheninnikov, and D. Krueger, "Defining and characterizing reward gaming," in Proc. 36th Conf. Neural Inf. Process. Syst. (NeurIPS), New Orleans, LA, pp. 9460–9471, 2022.</w:t>
      </w:r>
    </w:p>
    <w:p w14:paraId="1322120D" w14:textId="77777777" w:rsidR="008078B6" w:rsidRDefault="00000000">
      <w:pPr>
        <w:spacing w:after="120"/>
        <w:ind w:left="420" w:hanging="420"/>
      </w:pPr>
      <w:proofErr w:type="spellStart"/>
      <w:proofErr w:type="spellEnd"/>
      <w:proofErr w:type="spellStart"/>
      <w:proofErr w:type="spellEnd"/>
      <w:r>
        <w:rPr>
          <w:rFonts w:ascii="新細明體" w:eastAsia="新細明體" w:hAnsi="新細明體" w:cs="新細明體"/>
          <w:sz w:val="21"/>
          <w:szCs w:val="21"/>
        </w:rPr>
        <w:t>[3] S. M. Devlin and D. Kudenko, "Dynamic potential-based reward shaping," in Proc. 11th Int. Conf. Autonomous Agents and Multiagent Systems (AAMAS), Valencia, Spain, pp. 433–440, 2012.</w:t>
      </w:r>
    </w:p>
    <w:p w14:paraId="1D1B34B2" w14:textId="77777777" w:rsidR="008078B6" w:rsidRDefault="00000000">
      <w:pPr>
        <w:spacing w:after="120"/>
        <w:ind w:left="420" w:hanging="420"/>
      </w:pPr>
      <w:proofErr w:type="spellStart"/>
      <w:proofErr w:type="spellEnd"/>
      <w:r>
        <w:rPr>
          <w:rFonts w:ascii="新細明體" w:eastAsia="新細明體" w:hAnsi="新細明體" w:cs="新細明體"/>
          <w:sz w:val="21"/>
          <w:szCs w:val="21"/>
        </w:rPr>
        <w:t>[4] Y. Bengio, J. Louradour, R. Collobert, and J. Weston, "Curriculum learning," in Proc. 26th Annu. Int. Conf. Machine Learning (ICML), Montreal, QC, Canada, pp. 41–48, 2009.</w:t>
      </w:r>
    </w:p>
    <w:p w14:paraId="37C15E71" w14:textId="77777777" w:rsidR="008078B6" w:rsidRDefault="00000000">
      <w:pPr>
        <w:spacing w:after="120"/>
        <w:ind w:left="420" w:hanging="420"/>
      </w:pPr>
      <w:r>
        <w:rPr>
          <w:rFonts w:ascii="新細明體" w:eastAsia="新細明體" w:hAnsi="新細明體" w:cs="新細明體"/>
          <w:sz w:val="21"/>
          <w:szCs w:val="21"/>
        </w:rPr>
        <w:t>[5] R. Toro Icarte, T. Q. Klassen, R. Valenzano, and S. A. McIlraith, "Reward machines: Exploiting reward function structure in reinforcement learning," J. Artif. Intell. Res., vol. 73, pp. 173–208, 2022.</w:t>
      </w:r>
    </w:p>
    <w:p w14:paraId="37C15E71" w14:textId="77777777" w:rsidR="008078B6" w:rsidRDefault="00000000">
      <w:pPr>
        <w:spacing w:after="120"/>
        <w:ind w:left="420" w:hanging="420"/>
      </w:pPr>
      <w:r>
        <w:rPr>
          <w:rFonts w:ascii="新細明體" w:eastAsia="新細明體" w:hAnsi="新細明體" w:cs="新細明體"/>
          <w:sz w:val="21"/>
          <w:szCs w:val="21"/>
        </w:rPr>
        <w:t>[6] R. S. Sutton and A. G. Barto, Reinforcement Learning: An Introduction, 2nd ed. Cambridge, MA: MIT Press, 2018.</w:t>
      </w:r>
    </w:p>
    <w:p w14:paraId="37C15E71" w14:textId="77777777" w:rsidR="008078B6" w:rsidRDefault="00000000">
      <w:pPr>
        <w:spacing w:after="120"/>
        <w:ind w:left="420" w:hanging="420"/>
      </w:pPr>
      <w:r>
        <w:rPr>
          <w:rFonts w:ascii="新細明體" w:eastAsia="新細明體" w:hAnsi="新細明體" w:cs="新細明體"/>
          <w:sz w:val="21"/>
          <w:szCs w:val="21"/>
        </w:rPr>
        <w:t>[7] M. Mittal et al., "Orbit: A unified simulation framework for interactive robot learning environments," IEEE Robot. Autom. Lett., vol. 8, no. 6, pp. 3740–3747, 2023.</w:t>
      </w:r>
    </w:p>
    <w:p w14:paraId="37C15E71" w14:textId="77777777" w:rsidR="008078B6" w:rsidRDefault="00000000">
      <w:pPr>
        <w:spacing w:after="120"/>
        <w:ind w:left="420" w:hanging="420"/>
      </w:pPr>
      <w:r>
        <w:rPr>
          <w:rFonts w:ascii="新細明體" w:eastAsia="新細明體" w:hAnsi="新細明體" w:cs="新細明體"/>
          <w:sz w:val="21"/>
          <w:szCs w:val="21"/>
        </w:rPr>
        <w:t>[8] J. Schulman, F. Wolski, P. Dhariwal, A. Radford, and O. Klimov, "Proximal policy optimization algorithms," arXiv preprint arXiv:1707.06347, 2017.</w:t>
      </w:r>
    </w:p>
    <w:p w14:paraId="37C15E71" w14:textId="77777777" w:rsidR="008078B6" w:rsidRDefault="00000000">
      <w:pPr>
        <w:spacing w:after="120"/>
        <w:ind w:left="420" w:hanging="420"/>
      </w:pPr>
      <w:r>
        <w:rPr>
          <w:rFonts w:ascii="新細明體" w:eastAsia="新細明體" w:hAnsi="新細明體" w:cs="新細明體"/>
          <w:sz w:val="21"/>
          <w:szCs w:val="21"/>
        </w:rPr>
        <w:t>[9] A. Y. Ng, D. Harada, and S. Russell, "Policy invariance under reward transformations: Theory and application to reward shaping," in Proc. 16th Int. Conf. Machine Learning (ICML), Bled, Slovenia, pp. 278–287, 1999.</w:t>
      </w:r>
    </w:p>
    <w:p w14:paraId="37C15E71" w14:textId="77777777" w:rsidR="008078B6" w:rsidRDefault="00000000">
      <w:pPr>
        <w:spacing w:after="120"/>
        <w:ind w:left="420" w:hanging="420"/>
      </w:pPr>
      <w:r>
        <w:rPr>
          <w:rFonts w:ascii="新細明體" w:eastAsia="新細明體" w:hAnsi="新細明體" w:cs="新細明體"/>
          <w:sz w:val="21"/>
          <w:szCs w:val="21"/>
        </w:rPr>
        <w:t>[10] J. Clark and D. Amodei, "Faulty reward functions in the wild," OpenAI Blog, Dec. 2016.</w:t>
      </w:r>
    </w:p>
    <w:p w14:paraId="37C15E71" w14:textId="77777777" w:rsidR="008078B6" w:rsidRDefault="00000000">
      <w:pPr>
        <w:spacing w:after="120"/>
        <w:ind w:left="420" w:hanging="420"/>
      </w:pPr>
      <w:r>
        <w:rPr>
          <w:rFonts w:ascii="新細明體" w:eastAsia="新細明體" w:hAnsi="新細明體" w:cs="新細明體"/>
          <w:sz w:val="21"/>
          <w:szCs w:val="21"/>
        </w:rPr>
        <w:t>[11] V. Krakovna et al., "Specification gaming: The flip side of AI ingenuity," DeepMind Blog, Apr. 2020.</w:t>
      </w:r>
    </w:p>
    <w:sectPr w:rsidR="008078B6">
      <w:pgSz w:w="12240" w:h="15840"/>
      <w:pgMar w:top="1080" w:right="900" w:bottom="1440" w:left="900" w:header="708" w:footer="708"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46762" w14:textId="77777777" w:rsidR="0062046E" w:rsidRDefault="0062046E" w:rsidP="004E5CC6">
      <w:r>
        <w:separator/>
      </w:r>
    </w:p>
  </w:endnote>
  <w:endnote w:type="continuationSeparator" w:id="0">
    <w:p w14:paraId="09B5216C" w14:textId="77777777" w:rsidR="0062046E" w:rsidRDefault="0062046E" w:rsidP="004E5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1020" w14:textId="77777777" w:rsidR="0062046E" w:rsidRDefault="0062046E" w:rsidP="004E5CC6">
      <w:r>
        <w:separator/>
      </w:r>
    </w:p>
  </w:footnote>
  <w:footnote w:type="continuationSeparator" w:id="0">
    <w:p w14:paraId="1462A120" w14:textId="77777777" w:rsidR="0062046E" w:rsidRDefault="0062046E" w:rsidP="004E5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A4E42"/>
    <w:multiLevelType w:val="hybridMultilevel"/>
    <w:tmpl w:val="0AE2E5F0"/>
    <w:lvl w:ilvl="0" w:tplc="AF12CF32">
      <w:start w:val="1"/>
      <w:numFmt w:val="bullet"/>
      <w:lvlText w:val="●"/>
      <w:lvlJc w:val="left"/>
      <w:pPr>
        <w:ind w:left="720" w:hanging="360"/>
      </w:pPr>
    </w:lvl>
    <w:lvl w:ilvl="1" w:tplc="42B465CA">
      <w:start w:val="1"/>
      <w:numFmt w:val="bullet"/>
      <w:lvlText w:val="○"/>
      <w:lvlJc w:val="left"/>
      <w:pPr>
        <w:ind w:left="1440" w:hanging="360"/>
      </w:pPr>
    </w:lvl>
    <w:lvl w:ilvl="2" w:tplc="59268020">
      <w:start w:val="1"/>
      <w:numFmt w:val="bullet"/>
      <w:lvlText w:val="■"/>
      <w:lvlJc w:val="left"/>
      <w:pPr>
        <w:ind w:left="2160" w:hanging="360"/>
      </w:pPr>
    </w:lvl>
    <w:lvl w:ilvl="3" w:tplc="B83A192A">
      <w:start w:val="1"/>
      <w:numFmt w:val="bullet"/>
      <w:lvlText w:val="●"/>
      <w:lvlJc w:val="left"/>
      <w:pPr>
        <w:ind w:left="2880" w:hanging="360"/>
      </w:pPr>
    </w:lvl>
    <w:lvl w:ilvl="4" w:tplc="DCF07BDE">
      <w:start w:val="1"/>
      <w:numFmt w:val="bullet"/>
      <w:lvlText w:val="○"/>
      <w:lvlJc w:val="left"/>
      <w:pPr>
        <w:ind w:left="3600" w:hanging="360"/>
      </w:pPr>
    </w:lvl>
    <w:lvl w:ilvl="5" w:tplc="9380351C">
      <w:start w:val="1"/>
      <w:numFmt w:val="bullet"/>
      <w:lvlText w:val="■"/>
      <w:lvlJc w:val="left"/>
      <w:pPr>
        <w:ind w:left="4320" w:hanging="360"/>
      </w:pPr>
    </w:lvl>
    <w:lvl w:ilvl="6" w:tplc="C93EE1D2">
      <w:start w:val="1"/>
      <w:numFmt w:val="bullet"/>
      <w:lvlText w:val="●"/>
      <w:lvlJc w:val="left"/>
      <w:pPr>
        <w:ind w:left="5040" w:hanging="360"/>
      </w:pPr>
    </w:lvl>
    <w:lvl w:ilvl="7" w:tplc="F2DC9BF2">
      <w:start w:val="1"/>
      <w:numFmt w:val="bullet"/>
      <w:lvlText w:val="●"/>
      <w:lvlJc w:val="left"/>
      <w:pPr>
        <w:ind w:left="5760" w:hanging="360"/>
      </w:pPr>
    </w:lvl>
    <w:lvl w:ilvl="8" w:tplc="F9DAD19E">
      <w:start w:val="1"/>
      <w:numFmt w:val="bullet"/>
      <w:lvlText w:val="●"/>
      <w:lvlJc w:val="left"/>
      <w:pPr>
        <w:ind w:left="6480" w:hanging="360"/>
      </w:pPr>
    </w:lvl>
  </w:abstractNum>
  <w:num w:numId="1" w16cid:durableId="1908489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B6"/>
    <w:rsid w:val="00074498"/>
    <w:rsid w:val="00386EA2"/>
    <w:rsid w:val="004E5CC6"/>
    <w:rsid w:val="0062046E"/>
    <w:rsid w:val="00635662"/>
    <w:rsid w:val="008078B6"/>
    <w:rsid w:val="008113D2"/>
    <w:rsid w:val="00862000"/>
    <w:rsid w:val="00BD044B"/>
    <w:rsid w:val="00C373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9CC600"/>
  <w15:docId w15:val="{A5DD740D-425C-4728-A8BD-94BDF878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4E5CC6"/>
    <w:pPr>
      <w:tabs>
        <w:tab w:val="center" w:pos="4153"/>
        <w:tab w:val="right" w:pos="8306"/>
      </w:tabs>
      <w:snapToGrid w:val="0"/>
    </w:pPr>
  </w:style>
  <w:style w:type="character" w:customStyle="1" w:styleId="ad">
    <w:name w:val="頁首 字元"/>
    <w:basedOn w:val="a0"/>
    <w:link w:val="ac"/>
    <w:uiPriority w:val="99"/>
    <w:rsid w:val="004E5CC6"/>
  </w:style>
  <w:style w:type="paragraph" w:styleId="ae">
    <w:name w:val="footer"/>
    <w:basedOn w:val="a"/>
    <w:link w:val="af"/>
    <w:uiPriority w:val="99"/>
    <w:unhideWhenUsed/>
    <w:rsid w:val="004E5CC6"/>
    <w:pPr>
      <w:tabs>
        <w:tab w:val="center" w:pos="4153"/>
        <w:tab w:val="right" w:pos="8306"/>
      </w:tabs>
      <w:snapToGrid w:val="0"/>
    </w:pPr>
  </w:style>
  <w:style w:type="character" w:customStyle="1" w:styleId="af">
    <w:name w:val="頁尾 字元"/>
    <w:basedOn w:val="a0"/>
    <w:link w:val="ae"/>
    <w:uiPriority w:val="99"/>
    <w:rsid w:val="004E5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2310</TotalTime>
  <Pages>3</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tarchu054</cp:lastModifiedBy>
  <cp:revision>4</cp:revision>
  <dcterms:created xsi:type="dcterms:W3CDTF">2026-07-23T10:05:00Z</dcterms:created>
  <dcterms:modified xsi:type="dcterms:W3CDTF">2026-08-07T08:25:00Z</dcterms:modified>
</cp:coreProperties>
</file>