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lang w:val="en-US" w:eastAsia="zh-CN"/>
        </w:rPr>
        <w:t>固有免疫系统称非特异性免疫，是生物长期进化中形成的一系列防御机制，固有免疫系统组成：组织屏障，固有免疫细胞，固有免疫分子。</w:t>
      </w:r>
    </w:p>
    <w:p>
      <w:pPr>
        <w:rPr>
          <w:rFonts w:hint="eastAsia"/>
          <w:lang w:val="en-US" w:eastAsia="zh-CN"/>
        </w:rPr>
      </w:pPr>
      <w:r>
        <w:rPr>
          <w:rFonts w:hint="eastAsia"/>
          <w:lang w:val="en-US" w:eastAsia="zh-CN"/>
        </w:rPr>
        <w:t>·01.组织屏障</w:t>
      </w:r>
    </w:p>
    <w:p>
      <w:r>
        <w:drawing>
          <wp:inline distT="0" distB="0" distL="114300" distR="114300">
            <wp:extent cx="4996815" cy="350710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96815" cy="3507105"/>
                    </a:xfrm>
                    <a:prstGeom prst="rect">
                      <a:avLst/>
                    </a:prstGeom>
                    <a:noFill/>
                    <a:ln>
                      <a:noFill/>
                    </a:ln>
                  </pic:spPr>
                </pic:pic>
              </a:graphicData>
            </a:graphic>
          </wp:inline>
        </w:drawing>
      </w:r>
    </w:p>
    <w:p/>
    <w:p>
      <w:pPr>
        <w:rPr>
          <w:rFonts w:hint="eastAsia"/>
          <w:lang w:val="en-US" w:eastAsia="zh-CN"/>
        </w:rPr>
      </w:pPr>
      <w:r>
        <w:rPr>
          <w:rFonts w:hint="eastAsia"/>
          <w:lang w:val="en-US" w:eastAsia="zh-CN"/>
        </w:rPr>
        <w:t>·固有免疫细胞，经典固有免疫细胞，固有淋巴样细胞，固有（样）淋巴细胞</w:t>
      </w:r>
    </w:p>
    <w:p>
      <w:r>
        <w:drawing>
          <wp:inline distT="0" distB="0" distL="114300" distR="114300">
            <wp:extent cx="5268595" cy="407543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075430"/>
                    </a:xfrm>
                    <a:prstGeom prst="rect">
                      <a:avLst/>
                    </a:prstGeom>
                    <a:noFill/>
                    <a:ln>
                      <a:noFill/>
                    </a:ln>
                  </pic:spPr>
                </pic:pic>
              </a:graphicData>
            </a:graphic>
          </wp:inline>
        </w:drawing>
      </w:r>
      <w:r>
        <w:drawing>
          <wp:inline distT="0" distB="0" distL="114300" distR="114300">
            <wp:extent cx="5272405" cy="3476625"/>
            <wp:effectExtent l="0" t="0" r="63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2405" cy="3476625"/>
                    </a:xfrm>
                    <a:prstGeom prst="rect">
                      <a:avLst/>
                    </a:prstGeom>
                    <a:noFill/>
                    <a:ln>
                      <a:noFill/>
                    </a:ln>
                  </pic:spPr>
                </pic:pic>
              </a:graphicData>
            </a:graphic>
          </wp:inline>
        </w:drawing>
      </w:r>
    </w:p>
    <w:p>
      <w:pPr>
        <w:rPr>
          <w:rFonts w:hint="eastAsia"/>
          <w:lang w:val="en-US" w:eastAsia="zh-CN"/>
        </w:rPr>
      </w:pPr>
      <w:r>
        <w:rPr>
          <w:rFonts w:hint="eastAsia"/>
          <w:lang w:val="en-US" w:eastAsia="zh-CN"/>
        </w:rPr>
        <w:t>肝脏急性期蛋白合成 激活补体MBL途径</w:t>
      </w:r>
    </w:p>
    <w:p>
      <w:pPr>
        <w:rPr>
          <w:rFonts w:hint="eastAsia"/>
          <w:lang w:val="en-US" w:eastAsia="zh-CN"/>
        </w:rPr>
      </w:pPr>
    </w:p>
    <w:p>
      <w:r>
        <w:drawing>
          <wp:inline distT="0" distB="0" distL="114300" distR="114300">
            <wp:extent cx="5269230" cy="3913505"/>
            <wp:effectExtent l="0" t="0" r="381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9230" cy="3913505"/>
                    </a:xfrm>
                    <a:prstGeom prst="rect">
                      <a:avLst/>
                    </a:prstGeom>
                    <a:noFill/>
                    <a:ln>
                      <a:noFill/>
                    </a:ln>
                  </pic:spPr>
                </pic:pic>
              </a:graphicData>
            </a:graphic>
          </wp:inline>
        </w:drawing>
      </w:r>
    </w:p>
    <w:p/>
    <w:p/>
    <w:p/>
    <w:p/>
    <w:p>
      <w:pPr>
        <w:rPr>
          <w:rFonts w:hint="eastAsia"/>
          <w:lang w:val="en-US" w:eastAsia="zh-CN"/>
        </w:rPr>
      </w:pPr>
      <w:r>
        <w:rPr>
          <w:rFonts w:hint="eastAsia"/>
          <w:lang w:val="en-US" w:eastAsia="zh-CN"/>
        </w:rPr>
        <w:t>抗体本身只能结合抗原，没有消灭抗原的能力，抗体要发挥体液免疫的作用，依赖固有免疫1.激活补体。2. C区功能结合Fc受体，抗体依赖的细胞介导的细胞毒作用ADCC，帮助NK细胞，促进细胞杀伤。3. 调理作用，吞噬细胞吞噬</w:t>
      </w:r>
    </w:p>
    <w:p>
      <w:pPr>
        <w:rPr>
          <w:rFonts w:hint="eastAsia"/>
          <w:lang w:val="en-US" w:eastAsia="zh-CN"/>
        </w:rPr>
      </w:pPr>
    </w:p>
    <w:p>
      <w:r>
        <w:drawing>
          <wp:inline distT="0" distB="0" distL="114300" distR="114300">
            <wp:extent cx="5269865" cy="3742055"/>
            <wp:effectExtent l="0" t="0" r="317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9865" cy="3742055"/>
                    </a:xfrm>
                    <a:prstGeom prst="rect">
                      <a:avLst/>
                    </a:prstGeom>
                    <a:noFill/>
                    <a:ln>
                      <a:noFill/>
                    </a:ln>
                  </pic:spPr>
                </pic:pic>
              </a:graphicData>
            </a:graphic>
          </wp:inline>
        </w:drawing>
      </w:r>
    </w:p>
    <w:p/>
    <w:p/>
    <w:p>
      <w:pPr>
        <w:rPr>
          <w:rFonts w:hint="eastAsia" w:ascii="宋体" w:hAnsi="宋体" w:eastAsia="宋体" w:cs="宋体"/>
          <w:sz w:val="24"/>
          <w:szCs w:val="24"/>
          <w:lang w:val="en-US" w:eastAsia="zh-CN"/>
        </w:rPr>
      </w:pPr>
      <w:r>
        <w:rPr>
          <w:rFonts w:hint="eastAsia" w:ascii="宋体" w:hAnsi="宋体" w:eastAsia="宋体" w:cs="宋体"/>
          <w:i w:val="0"/>
          <w:iCs w:val="0"/>
          <w:caps w:val="0"/>
          <w:color w:val="222222"/>
          <w:spacing w:val="0"/>
          <w:sz w:val="24"/>
          <w:szCs w:val="24"/>
          <w:shd w:val="clear" w:fill="FFFFFF"/>
        </w:rPr>
        <w:t>•简述PRR与PAMP的概念</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PRR ：</w:t>
      </w:r>
      <w:r>
        <w:rPr>
          <w:rFonts w:hint="eastAsia" w:ascii="宋体" w:hAnsi="宋体" w:eastAsia="宋体" w:cs="宋体"/>
          <w:i w:val="0"/>
          <w:iCs w:val="0"/>
          <w:caps w:val="0"/>
          <w:color w:val="222222"/>
          <w:spacing w:val="0"/>
          <w:sz w:val="24"/>
          <w:szCs w:val="24"/>
          <w:shd w:val="clear" w:fill="FFFFFF"/>
          <w:lang w:val="en-US" w:eastAsia="zh-CN"/>
        </w:rPr>
        <w:t>模式识别受体，</w:t>
      </w:r>
      <w:r>
        <w:rPr>
          <w:rFonts w:hint="eastAsia" w:ascii="宋体" w:hAnsi="宋体" w:eastAsia="宋体" w:cs="宋体"/>
          <w:i w:val="0"/>
          <w:iCs w:val="0"/>
          <w:caps w:val="0"/>
          <w:color w:val="222222"/>
          <w:spacing w:val="0"/>
          <w:sz w:val="24"/>
          <w:szCs w:val="24"/>
          <w:shd w:val="clear" w:fill="FFFFFF"/>
        </w:rPr>
        <w:t>广泛存在于固有免疫细胞表面、 胞内器室膜上、胞浆和血液中的一类能够直接识别外来病原体及其产物或宿主畸变和衰老凋亡细胞 某些共有特定模式分子结构的受体。</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PAM</w:t>
      </w:r>
      <w:r>
        <w:rPr>
          <w:rFonts w:hint="eastAsia" w:ascii="宋体" w:hAnsi="宋体" w:eastAsia="宋体" w:cs="宋体"/>
          <w:i w:val="0"/>
          <w:iCs w:val="0"/>
          <w:caps w:val="0"/>
          <w:color w:val="222222"/>
          <w:spacing w:val="0"/>
          <w:sz w:val="24"/>
          <w:szCs w:val="24"/>
          <w:shd w:val="clear" w:fill="FFFFFF"/>
          <w:lang w:val="en-US" w:eastAsia="zh-CN"/>
        </w:rPr>
        <w:t>P</w:t>
      </w:r>
      <w:r>
        <w:rPr>
          <w:rFonts w:hint="eastAsia" w:ascii="宋体" w:hAnsi="宋体" w:eastAsia="宋体" w:cs="宋体"/>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lang w:val="en-US" w:eastAsia="zh-CN"/>
        </w:rPr>
        <w:t>病原体相关分子模式，</w:t>
      </w:r>
      <w:bookmarkStart w:id="0" w:name="_GoBack"/>
      <w:bookmarkEnd w:id="0"/>
      <w:r>
        <w:rPr>
          <w:rFonts w:hint="eastAsia" w:ascii="宋体" w:hAnsi="宋体" w:eastAsia="宋体" w:cs="宋体"/>
          <w:i w:val="0"/>
          <w:iCs w:val="0"/>
          <w:caps w:val="0"/>
          <w:color w:val="222222"/>
          <w:spacing w:val="0"/>
          <w:sz w:val="24"/>
          <w:szCs w:val="24"/>
          <w:shd w:val="clear" w:fill="FFFFFF"/>
        </w:rPr>
        <w:t>指某些病原体或其产物所共有的高度保守，且对病原体生存和致病性不可或缺的特定分子结构。</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•简述巨噬细胞主要生物学功能</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1、吞噬杀菌</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2、参与炎症反应</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3、杀伤胞内寄生菌和肿瘤等靶细胞</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4、加工提呈抗原启动适应性免疫应答</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5、免疫调节作用</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•简述NK细胞杀伤活性的调控机制</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KIR抑制性受体KIR2DL和KIR3DL</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活化性受体KIR2DLS和KIR3DLS</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KLR 抑制性受体CD94/NKG2A</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活化性受体CD94/NKG2C</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•简述固有免疫应答的作用时相</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分为3个阶段</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1. 即刻固有免疫应答，0-4h</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2. 早期诱导固有免疫应答，4-96h</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3. 适应性免疫应答 ，96h后</w:t>
      </w:r>
      <w:r>
        <w:rPr>
          <w:rFonts w:hint="eastAsia" w:ascii="宋体" w:hAnsi="宋体" w:eastAsia="宋体" w:cs="宋体"/>
          <w:i w:val="0"/>
          <w:iCs w:val="0"/>
          <w:caps w:val="0"/>
          <w:color w:val="222222"/>
          <w:spacing w:val="0"/>
          <w:sz w:val="24"/>
          <w:szCs w:val="24"/>
          <w:shd w:val="clear" w:fill="FFFFFF"/>
        </w:rPr>
        <w:br w:type="textWrapping"/>
      </w:r>
      <w:r>
        <w:rPr>
          <w:rFonts w:hint="eastAsia" w:ascii="宋体" w:hAnsi="宋体" w:eastAsia="宋体" w:cs="宋体"/>
          <w:i w:val="0"/>
          <w:iCs w:val="0"/>
          <w:caps w:val="0"/>
          <w:color w:val="222222"/>
          <w:spacing w:val="0"/>
          <w:sz w:val="24"/>
          <w:szCs w:val="24"/>
          <w:shd w:val="clear" w:fill="FFFFFF"/>
        </w:rPr>
        <w:t>•比较固有免疫应答和适应性免疫应答的特征</w:t>
      </w:r>
    </w:p>
    <w:p>
      <w:pPr>
        <w:rPr>
          <w:rFonts w:hint="default"/>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iCs w:val="0"/>
          <w:caps w:val="0"/>
          <w:color w:val="222222"/>
          <w:spacing w:val="0"/>
          <w:sz w:val="21"/>
          <w:szCs w:val="21"/>
          <w:shd w:val="clear" w:fill="FFFFFF"/>
        </w:rPr>
        <w:t>固有免疫应答</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参与细胞｜皮肤黏膜上皮细胞、巨噬细胞、中性粒细胞、</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 xml:space="preserve">｜肥大细胞、树突状细胞、NK 细胞、ILC2 </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｜NKT细胞、γδ T 、B1 细胞</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效应分子｜补体、细胞因子、抗菌蛋白、酶类物质、</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｜穿孔素、颗粒酶、FasL</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作用时相｜即刻~96小时</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 xml:space="preserve">识别受体｜模式识别受体/有限多样性抗原识别受体 </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｜（胚系基因直接编码），较少多样性</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识别特点｜直接识别 PAMP/DAMP 及靶细胞表面某些</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｜特定表位分子或 CD1 提呈的脂类/糖脂类抗</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｜原,具有泛特异性</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作用特点｜募集活化后迅速产生免疫效应，没有免疫记</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 xml:space="preserve">｜忆功能，不发生再次应答 </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维持时间｜较短</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适应性免疫应答</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参与细胞｜CD4+Thl1细胞、Th2细胞、Th17细胞、Tth 细胞、</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｜Treg 细胞、CD8*CTL、B2 细胞</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效应分子｜特异性抗体、细胞因子、穿孔素、颗粒酶、FasL</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作用时相｜96小时后</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识别受体｜特异性抗原识别受体(胚系基因重排后产生）,具</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｜有高度特异性</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识别特点｜识别APC 表面MHC 分子提呈的抗原肽或 FDC 表</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｜面捕获的抗原分子，具有高度特异性</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作用特点｜经克隆选择、增殖分化为效应细胞后发挥免疫作</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｜用，具有免疫记忆功能，可发生再次应答</w:t>
      </w:r>
      <w:r>
        <w:rPr>
          <w:rFonts w:hint="eastAsia" w:asciiTheme="minorEastAsia" w:hAnsiTheme="minorEastAsia" w:eastAsiaTheme="minorEastAsia" w:cstheme="minorEastAsia"/>
          <w:i w:val="0"/>
          <w:iCs w:val="0"/>
          <w:caps w:val="0"/>
          <w:color w:val="222222"/>
          <w:spacing w:val="0"/>
          <w:sz w:val="21"/>
          <w:szCs w:val="21"/>
          <w:shd w:val="clear" w:fill="FFFFFF"/>
        </w:rPr>
        <w:br w:type="textWrapping"/>
      </w:r>
      <w:r>
        <w:rPr>
          <w:rFonts w:hint="eastAsia" w:asciiTheme="minorEastAsia" w:hAnsiTheme="minorEastAsia" w:eastAsiaTheme="minorEastAsia" w:cstheme="minorEastAsia"/>
          <w:i w:val="0"/>
          <w:iCs w:val="0"/>
          <w:caps w:val="0"/>
          <w:color w:val="222222"/>
          <w:spacing w:val="0"/>
          <w:sz w:val="21"/>
          <w:szCs w:val="21"/>
          <w:shd w:val="clear" w:fill="FFFFFF"/>
        </w:rPr>
        <w:t>维持时间｜较长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Sans-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Kozuka Gothic Pro B">
    <w:panose1 w:val="020B0800000000000000"/>
    <w:charset w:val="80"/>
    <w:family w:val="auto"/>
    <w:pitch w:val="default"/>
    <w:sig w:usb0="00000083" w:usb1="2AC71C11" w:usb2="00000012" w:usb3="00000000" w:csb0="20020005"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64E9C"/>
    <w:rsid w:val="137A6548"/>
    <w:rsid w:val="13E93BC1"/>
    <w:rsid w:val="1D667193"/>
    <w:rsid w:val="369E54F7"/>
    <w:rsid w:val="4A981A8C"/>
    <w:rsid w:val="4C4A1BA9"/>
    <w:rsid w:val="4E994025"/>
    <w:rsid w:val="596757D9"/>
    <w:rsid w:val="6D65184A"/>
    <w:rsid w:val="7C304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279</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2022-02-14T05:41:00Z</dcterms:created>
  <dc:creator>CHEN JUNJIE</dc:creator>
  <cp:lastModifiedBy>cc771314js</cp:lastModifiedBy>
  <dcterms:modified xsi:type="dcterms:W3CDTF">2022-02-15T06:25:20Z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038FDFC059544858AB6A54FD9398CB07</vt:lpwstr>
  </property>
</Properties>
</file>