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·概述</w:t>
      </w:r>
    </w:p>
    <w:p>
      <w:r>
        <w:drawing>
          <wp:inline distT="0" distB="0" distL="114300" distR="114300">
            <wp:extent cx="3681095" cy="2390775"/>
            <wp:effectExtent l="0" t="0" r="698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681095" cy="2390775"/>
                    </a:xfrm>
                    <a:prstGeom prst="rect">
                      <a:avLst/>
                    </a:prstGeom>
                    <a:noFill/>
                    <a:ln>
                      <a:noFill/>
                    </a:ln>
                  </pic:spPr>
                </pic:pic>
              </a:graphicData>
            </a:graphic>
          </wp:inline>
        </w:drawing>
      </w:r>
    </w:p>
    <w:p/>
    <w:p>
      <w:pPr>
        <w:rPr>
          <w:rFonts w:hint="eastAsia"/>
          <w:lang w:val="en-US" w:eastAsia="zh-CN"/>
        </w:rPr>
      </w:pPr>
      <w:r>
        <w:rPr>
          <w:rFonts w:hint="eastAsia"/>
          <w:lang w:val="en-US" w:eastAsia="zh-CN"/>
        </w:rPr>
        <w:t>·引起免疫耐受的因素</w:t>
      </w:r>
    </w:p>
    <w:p>
      <w:r>
        <w:drawing>
          <wp:inline distT="0" distB="0" distL="114300" distR="114300">
            <wp:extent cx="5271135" cy="4431030"/>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4431030"/>
                    </a:xfrm>
                    <a:prstGeom prst="rect">
                      <a:avLst/>
                    </a:prstGeom>
                    <a:noFill/>
                    <a:ln>
                      <a:noFill/>
                    </a:ln>
                  </pic:spPr>
                </pic:pic>
              </a:graphicData>
            </a:graphic>
          </wp:inline>
        </w:drawing>
      </w:r>
    </w:p>
    <w:p/>
    <w:p/>
    <w:p/>
    <w:p/>
    <w:p/>
    <w:p>
      <w:pPr>
        <w:rPr>
          <w:rFonts w:hint="eastAsia"/>
          <w:lang w:val="en-US" w:eastAsia="zh-CN"/>
        </w:rPr>
      </w:pPr>
      <w:r>
        <w:rPr>
          <w:rFonts w:hint="eastAsia"/>
          <w:lang w:val="en-US" w:eastAsia="zh-CN"/>
        </w:rPr>
        <w:t>·免疫耐受的机制</w:t>
      </w:r>
    </w:p>
    <w:p>
      <w:pPr>
        <w:rPr>
          <w:rFonts w:hint="default"/>
          <w:lang w:val="en-US" w:eastAsia="zh-CN"/>
        </w:rPr>
      </w:pPr>
      <w:r>
        <w:rPr>
          <w:rFonts w:hint="eastAsia"/>
          <w:lang w:val="en-US" w:eastAsia="zh-CN"/>
        </w:rPr>
        <w:t>·中枢耐受</w:t>
      </w:r>
    </w:p>
    <w:p>
      <w:r>
        <w:drawing>
          <wp:inline distT="0" distB="0" distL="114300" distR="114300">
            <wp:extent cx="3889375" cy="2681605"/>
            <wp:effectExtent l="0" t="0" r="1206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889375" cy="2681605"/>
                    </a:xfrm>
                    <a:prstGeom prst="rect">
                      <a:avLst/>
                    </a:prstGeom>
                    <a:noFill/>
                    <a:ln>
                      <a:noFill/>
                    </a:ln>
                  </pic:spPr>
                </pic:pic>
              </a:graphicData>
            </a:graphic>
          </wp:inline>
        </w:drawing>
      </w:r>
    </w:p>
    <w:p>
      <w:r>
        <w:drawing>
          <wp:inline distT="0" distB="0" distL="114300" distR="114300">
            <wp:extent cx="4032250" cy="3168015"/>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032250" cy="3168015"/>
                    </a:xfrm>
                    <a:prstGeom prst="rect">
                      <a:avLst/>
                    </a:prstGeom>
                    <a:noFill/>
                    <a:ln>
                      <a:noFill/>
                    </a:ln>
                  </pic:spPr>
                </pic:pic>
              </a:graphicData>
            </a:graphic>
          </wp:inline>
        </w:drawing>
      </w:r>
      <w:r>
        <w:drawing>
          <wp:inline distT="0" distB="0" distL="114300" distR="114300">
            <wp:extent cx="5271135" cy="1582420"/>
            <wp:effectExtent l="0" t="0" r="190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135" cy="1582420"/>
                    </a:xfrm>
                    <a:prstGeom prst="rect">
                      <a:avLst/>
                    </a:prstGeom>
                    <a:noFill/>
                    <a:ln>
                      <a:noFill/>
                    </a:ln>
                  </pic:spPr>
                </pic:pic>
              </a:graphicData>
            </a:graphic>
          </wp:inline>
        </w:drawing>
      </w:r>
    </w:p>
    <w:p>
      <w:pPr>
        <w:rPr>
          <w:rFonts w:hint="eastAsia"/>
          <w:lang w:val="en-US" w:eastAsia="zh-CN"/>
        </w:rPr>
      </w:pPr>
      <w:r>
        <w:rPr>
          <w:rFonts w:hint="eastAsia"/>
          <w:lang w:val="en-US" w:eastAsia="zh-CN"/>
        </w:rPr>
        <w:t>克隆清除——与自身抗原结合，细胞凋亡</w:t>
      </w:r>
    </w:p>
    <w:p>
      <w:pPr>
        <w:rPr>
          <w:rFonts w:hint="eastAsia"/>
          <w:lang w:val="en-US" w:eastAsia="zh-CN"/>
        </w:rPr>
      </w:pPr>
      <w:r>
        <w:rPr>
          <w:rFonts w:hint="eastAsia"/>
          <w:lang w:val="en-US" w:eastAsia="zh-CN"/>
        </w:rPr>
        <w:t>受体编辑——重新激活RAG酶，合成新的轻链</w:t>
      </w:r>
    </w:p>
    <w:p>
      <w:pPr>
        <w:rPr>
          <w:rFonts w:hint="eastAsia"/>
          <w:lang w:val="en-US" w:eastAsia="zh-CN"/>
        </w:rPr>
      </w:pPr>
      <w:r>
        <w:rPr>
          <w:rFonts w:hint="eastAsia"/>
          <w:lang w:val="en-US" w:eastAsia="zh-CN"/>
        </w:rPr>
        <w:t>细胞失能 (亲和力低)——失去识别抗原的能力，进入外周</w:t>
      </w:r>
    </w:p>
    <w:p>
      <w:pPr>
        <w:rPr>
          <w:rFonts w:hint="eastAsia"/>
          <w:lang w:val="en-US" w:eastAsia="zh-CN"/>
        </w:rPr>
      </w:pPr>
      <w:r>
        <w:rPr>
          <w:rFonts w:hint="eastAsia"/>
          <w:lang w:val="en-US" w:eastAsia="zh-CN"/>
        </w:rPr>
        <w:t>取决于BCR与自身抗原的亲和力</w:t>
      </w:r>
    </w:p>
    <w:p>
      <w:pPr>
        <w:rPr>
          <w:rFonts w:hint="eastAsia"/>
          <w:lang w:val="en-US" w:eastAsia="zh-CN"/>
        </w:rPr>
      </w:pPr>
      <w:r>
        <w:rPr>
          <w:rFonts w:hint="eastAsia"/>
          <w:lang w:val="en-US" w:eastAsia="zh-CN"/>
        </w:rPr>
        <w:t>·外周耐受——阴性选择并非完美无缺，有相当数量的自身反应性T/B细胞输出到外周</w:t>
      </w:r>
    </w:p>
    <w:p>
      <w:r>
        <w:drawing>
          <wp:inline distT="0" distB="0" distL="114300" distR="114300">
            <wp:extent cx="5270500" cy="491680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0500" cy="4916805"/>
                    </a:xfrm>
                    <a:prstGeom prst="rect">
                      <a:avLst/>
                    </a:prstGeom>
                    <a:noFill/>
                    <a:ln>
                      <a:noFill/>
                    </a:ln>
                  </pic:spPr>
                </pic:pic>
              </a:graphicData>
            </a:graphic>
          </wp:inline>
        </w:drawing>
      </w:r>
      <w:r>
        <w:drawing>
          <wp:inline distT="0" distB="0" distL="114300" distR="114300">
            <wp:extent cx="5273675" cy="2321560"/>
            <wp:effectExtent l="0" t="0" r="1460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3675" cy="23215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959225" cy="1230630"/>
            <wp:effectExtent l="0" t="0" r="317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3959225" cy="1230630"/>
                    </a:xfrm>
                    <a:prstGeom prst="rect">
                      <a:avLst/>
                    </a:prstGeom>
                    <a:noFill/>
                    <a:ln>
                      <a:noFill/>
                    </a:ln>
                  </pic:spPr>
                </pic:pic>
              </a:graphicData>
            </a:graphic>
          </wp:inline>
        </w:drawing>
      </w:r>
    </w:p>
    <w:p>
      <w:r>
        <w:drawing>
          <wp:inline distT="0" distB="0" distL="114300" distR="114300">
            <wp:extent cx="3761105" cy="1380490"/>
            <wp:effectExtent l="0" t="0" r="317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3761105" cy="1380490"/>
                    </a:xfrm>
                    <a:prstGeom prst="rect">
                      <a:avLst/>
                    </a:prstGeom>
                    <a:noFill/>
                    <a:ln>
                      <a:noFill/>
                    </a:ln>
                  </pic:spPr>
                </pic:pic>
              </a:graphicData>
            </a:graphic>
          </wp:inline>
        </w:drawing>
      </w:r>
      <w:r>
        <w:drawing>
          <wp:inline distT="0" distB="0" distL="114300" distR="114300">
            <wp:extent cx="5269230" cy="3606165"/>
            <wp:effectExtent l="0" t="0" r="381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69230" cy="3606165"/>
                    </a:xfrm>
                    <a:prstGeom prst="rect">
                      <a:avLst/>
                    </a:prstGeom>
                    <a:noFill/>
                    <a:ln>
                      <a:noFill/>
                    </a:ln>
                  </pic:spPr>
                </pic:pic>
              </a:graphicData>
            </a:graphic>
          </wp:inline>
        </w:drawing>
      </w:r>
    </w:p>
    <w:p>
      <w:bookmarkStart w:id="0" w:name="_GoBack"/>
      <w:bookmarkEnd w:id="0"/>
    </w:p>
    <w:p>
      <w:pPr>
        <w:rPr>
          <w:rFonts w:hint="eastAsia"/>
          <w:sz w:val="24"/>
          <w:szCs w:val="24"/>
          <w:lang w:val="en-US" w:eastAsia="zh-CN"/>
        </w:rPr>
      </w:pPr>
      <w:r>
        <w:rPr>
          <w:rFonts w:ascii="微软雅黑" w:hAnsi="微软雅黑" w:eastAsia="微软雅黑" w:cs="微软雅黑"/>
          <w:i w:val="0"/>
          <w:iCs w:val="0"/>
          <w:caps w:val="0"/>
          <w:color w:val="222222"/>
          <w:spacing w:val="0"/>
          <w:sz w:val="24"/>
          <w:szCs w:val="24"/>
          <w:shd w:val="clear" w:fill="FFFFFF"/>
        </w:rPr>
        <w:t>•简述免疫耐受的特点及其生物学意义</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特点：免疫耐受具有高度特 异性，即只对特定的抗原不应答，对其他抗原仍能产生良好的免疫应答。免疫耐受不影响适应性免疫应答的整体功能，从而不同于免疫抑制或免疫缺陷所致的非特异性的低反应或无反应状态。</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意义：免疫耐受和免疫应答相辅相成，二者的平衡对保持免疫自稳至关重要。</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•简述免疫耐受形成的主要机制</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①发育中的T、B细胞经历阴性选择，在自身抗原刺激下，特异性克隆被诱导凋亡(克隆清除)或失活(克隆失能)。</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②部分逃脱阴性选择而输出至外周的自身反应性 T、B细胞，或因抗原浓度过低不被活化(免疫忽视)，或在缺乏共刺激信号条件下 反 复受到抗原刺激后发生凋亡(克隆清除)或失活(克隆失能)，或受到包括Treg细胞在内的多种负调控机制的抑制而不被激活。</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•简述建立和打破免疫耐受的意义和常用策略</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建立：1. 口服或静脉注射抗原</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2. 使用变构肤配体</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3. 阻断共刺激信号</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4. 诱导免疫偏离</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5. 骨髓和胸腺移植</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6. 过继输入抑制性免疫细胞</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打破：1. 检查点阻断</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2.激活共刺激信号</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3. 抑制调节性T细胞功能</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4. 增强DC的功能</w:t>
      </w:r>
      <w:r>
        <w:rPr>
          <w:rFonts w:hint="eastAsia" w:ascii="微软雅黑" w:hAnsi="微软雅黑" w:eastAsia="微软雅黑" w:cs="微软雅黑"/>
          <w:i w:val="0"/>
          <w:iCs w:val="0"/>
          <w:caps w:val="0"/>
          <w:color w:val="222222"/>
          <w:spacing w:val="0"/>
          <w:sz w:val="24"/>
          <w:szCs w:val="24"/>
          <w:shd w:val="clear" w:fill="FFFFFF"/>
        </w:rPr>
        <w:br w:type="textWrapping"/>
      </w:r>
      <w:r>
        <w:rPr>
          <w:rFonts w:hint="eastAsia" w:ascii="微软雅黑" w:hAnsi="微软雅黑" w:eastAsia="微软雅黑" w:cs="微软雅黑"/>
          <w:i w:val="0"/>
          <w:iCs w:val="0"/>
          <w:caps w:val="0"/>
          <w:color w:val="222222"/>
          <w:spacing w:val="0"/>
          <w:sz w:val="24"/>
          <w:szCs w:val="24"/>
          <w:shd w:val="clear" w:fill="FFFFFF"/>
        </w:rPr>
        <w:t>5细胞因子及其抗体的合理使用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84127D"/>
    <w:rsid w:val="11CB47B9"/>
    <w:rsid w:val="158B3902"/>
    <w:rsid w:val="19F65454"/>
    <w:rsid w:val="2D353F9E"/>
    <w:rsid w:val="2D7A1628"/>
    <w:rsid w:val="31124E12"/>
    <w:rsid w:val="32A45E26"/>
    <w:rsid w:val="343C2CF9"/>
    <w:rsid w:val="368E115C"/>
    <w:rsid w:val="3B1B105C"/>
    <w:rsid w:val="3B4C0F20"/>
    <w:rsid w:val="3DEE2870"/>
    <w:rsid w:val="41B161BF"/>
    <w:rsid w:val="4E1E7219"/>
    <w:rsid w:val="4E5C5106"/>
    <w:rsid w:val="62F97DE8"/>
    <w:rsid w:val="65187685"/>
    <w:rsid w:val="6A0A597F"/>
    <w:rsid w:val="764F3C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90</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2022-02-21T06:14:58Z</dcterms:created>
  <dc:creator>CHEN JUNJIE</dc:creator>
  <cp:lastModifiedBy>cc771314js</cp:lastModifiedBy>
  <dcterms:modified xsi:type="dcterms:W3CDTF">2022-02-21T08:02:33Z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124D2069C1F54A558ADD03F270D71985</vt:lpwstr>
  </property>
</Properties>
</file>