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945890" cy="251587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·细胞因子共同特点</w:t>
      </w:r>
    </w:p>
    <w:p>
      <w:r>
        <w:drawing>
          <wp:inline distT="0" distB="0" distL="114300" distR="114300">
            <wp:extent cx="3470275" cy="246126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结构简单，容易降解，半衰期短。</w:t>
      </w:r>
    </w:p>
    <w:p>
      <w:r>
        <w:drawing>
          <wp:inline distT="0" distB="0" distL="114300" distR="114300">
            <wp:extent cx="4324985" cy="2734310"/>
            <wp:effectExtent l="0" t="0" r="317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59480" cy="15468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多效性：IL-4 作用于B细胞诱导IgE转换，Th细胞向Th2分化，肥大细胞增值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重叠性：IL-2 7 15 促进T细胞增值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协同性：IL-4 + IL-5 提高诱导IgE类别转换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拮抗性：IFN-γ阻断IL-4诱导IgE类别转换.</w:t>
      </w:r>
    </w:p>
    <w:p>
      <w:r>
        <w:rPr>
          <w:rFonts w:hint="eastAsia"/>
          <w:lang w:val="en-US" w:eastAsia="zh-CN"/>
        </w:rPr>
        <w:t>网络性：</w:t>
      </w:r>
      <w:r>
        <w:drawing>
          <wp:inline distT="0" distB="0" distL="114300" distR="114300">
            <wp:extent cx="2747010" cy="2189480"/>
            <wp:effectExtent l="0" t="0" r="1143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·细胞因子的分类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白细胞介素，集落刺激因子，干扰素，肿瘤坏死因子，生长因子，趋化因子。</w:t>
      </w:r>
    </w:p>
    <w:p>
      <w:r>
        <w:drawing>
          <wp:inline distT="0" distB="0" distL="114300" distR="114300">
            <wp:extent cx="4555490" cy="4057015"/>
            <wp:effectExtent l="0" t="0" r="12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35935"/>
            <wp:effectExtent l="0" t="0" r="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3380105" cy="2157730"/>
            <wp:effectExtent l="0" t="0" r="317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0485" cy="2946400"/>
            <wp:effectExtent l="0" t="0" r="571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72635" cy="3644900"/>
            <wp:effectExtent l="0" t="0" r="1460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C18C4"/>
    <w:rsid w:val="06D36DF2"/>
    <w:rsid w:val="208C5ECD"/>
    <w:rsid w:val="5C981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2022-01-28T05:40:39Z</dcterms:created>
  <dc:creator>CHEN JUNJIE</dc:creator>
  <cp:lastModifiedBy>cc771314js</cp:lastModifiedBy>
  <dcterms:modified xsi:type="dcterms:W3CDTF">2022-01-28T07:52:31Z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C92CB7C772E846AABF51E2684A2A7C59</vt:lpwstr>
  </property>
</Properties>
</file>