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THU THẬP VÀ XỬ LÝ ĐỀ TOÁN</w:t>
        <w:br/>
        <w:t>VÀO LỚP 10 HÀ NỘI</w:t>
      </w:r>
    </w:p>
    <w:p>
      <w:pPr>
        <w:pStyle w:val="Subtitle"/>
        <w:jc w:val="center"/>
      </w:pPr>
      <w:r>
        <w:t>Chuyển tài liệu PDF sang LaTeX và lọc phần hình học</w:t>
      </w:r>
    </w:p>
    <w:p>
      <w:pPr>
        <w:jc w:val="both"/>
      </w:pPr>
      <w:r>
        <w:t>Ngày lập báo cáo 20 tháng 10 năm 2026</w:t>
      </w:r>
    </w:p>
    <w:p>
      <w:pPr>
        <w:pStyle w:val="Heading1"/>
        <w:jc w:val="left"/>
      </w:pPr>
      <w:r>
        <w:t>1. Mục đích và phạm vi</w:t>
      </w:r>
    </w:p>
    <w:p>
      <w:pPr>
        <w:jc w:val="both"/>
      </w:pPr>
      <w:r>
        <w:t>Bộ tài liệu gồm 20 đề Toán tuyển sinh vào lớp 10 THPT không chuyên tại Hà Nội, kèm đáp án hoặc lời giải. Mục tiêu xử lý là chuyển phần nội dung cần giữ từ PDF sang LaTeX để có thể chỉnh sửa công thức và sử dụng làm tài liệu học tập.</w:t>
      </w:r>
    </w:p>
    <w:p>
      <w:pPr>
        <w:jc w:val="both"/>
      </w:pPr>
      <w:r>
        <w:t>Nội dung giữ lại gồm biểu thức đại số, phương trình và hệ phương trình, hàm số và bài toán tọa độ, bất đẳng thức, bài toán tối ưu, xác suất, thống kê và toán thực tế. Các bài tính diện tích, thể tích cũng được giữ. Bài hình học chứng minh hoặc dựng hình được bỏ theo phạm vi đã thống nhất.</w:t>
      </w:r>
    </w:p>
    <w:p>
      <w:pPr>
        <w:pStyle w:val="Heading1"/>
        <w:jc w:val="left"/>
      </w:pPr>
      <w:r>
        <w:t>2. Đặc điểm bộ dữ liệu</w:t>
      </w:r>
    </w:p>
    <w:tbl>
      <w:tblPr>
        <w:tblW w:type="auto" w:w="0"/>
        <w:jc w:val="center"/>
        <w:tblLayout w:type="fixed"/>
        <w:tblLook w:firstColumn="1" w:firstRow="1" w:lastColumn="0" w:lastRow="0" w:noHBand="0" w:noVBand="1" w:val="04A0"/>
      </w:tblPr>
      <w:tblGrid>
        <w:gridCol w:w="2268"/>
        <w:gridCol w:w="7200"/>
      </w:tblGrid>
      <w:tr>
        <w:trPr>
          <w:tblHeader/>
          <w:cantSplit/>
        </w:trPr>
        <w:tc>
          <w:tcPr>
            <w:tcW w:type="dxa" w:w="2268"/>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Đặc điểm</w:t>
            </w:r>
          </w:p>
        </w:tc>
        <w:tc>
          <w:tcPr>
            <w:tcW w:type="dxa" w:w="720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Thông tin</w:t>
            </w:r>
          </w:p>
        </w:tc>
      </w:tr>
      <w:tr>
        <w:trPr>
          <w:cantSplit/>
        </w:trPr>
        <w:tc>
          <w:tcPr>
            <w:tcW w:type="dxa" w:w="2268"/>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Số bộ đề</w:t>
            </w:r>
          </w:p>
        </w:tc>
        <w:tc>
          <w:tcPr>
            <w:tcW w:type="dxa" w:w="720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20 bộ từ năm 2007 đến năm 2026</w:t>
            </w:r>
          </w:p>
        </w:tc>
      </w:tr>
      <w:tr>
        <w:trPr>
          <w:cantSplit/>
        </w:trPr>
        <w:tc>
          <w:tcPr>
            <w:tcW w:type="dxa" w:w="2268"/>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Cách đánh số</w:t>
            </w:r>
          </w:p>
        </w:tc>
        <w:tc>
          <w:tcPr>
            <w:tcW w:type="dxa" w:w="720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Thư mục 1 là năm 2026 và thư mục 20 là năm 2007</w:t>
            </w:r>
          </w:p>
        </w:tc>
      </w:tr>
      <w:tr>
        <w:trPr>
          <w:cantSplit/>
        </w:trPr>
        <w:tc>
          <w:tcPr>
            <w:tcW w:type="dxa" w:w="2268"/>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Tệp nguồn</w:t>
            </w:r>
          </w:p>
        </w:tc>
        <w:tc>
          <w:tcPr>
            <w:tcW w:type="dxa" w:w="720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24 PDF gồm 8 PDF tách riêng đề và đáp án của 4 năm 2023–2026 cùng 16 PDF gộp của các năm 2007–2022</w:t>
            </w:r>
          </w:p>
        </w:tc>
      </w:tr>
      <w:tr>
        <w:trPr>
          <w:cantSplit/>
        </w:trPr>
        <w:tc>
          <w:tcPr>
            <w:tcW w:type="dxa" w:w="2268"/>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Tệp LaTeX hiện có</w:t>
            </w:r>
          </w:p>
        </w:tc>
        <w:tc>
          <w:tcPr>
            <w:tcW w:type="dxa" w:w="720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40 tệp gồm de-thi.tex và dap-an.tex trong từng thư mục 1–20</w:t>
            </w:r>
          </w:p>
        </w:tc>
      </w:tr>
      <w:tr>
        <w:trPr>
          <w:cantSplit/>
        </w:trPr>
        <w:tc>
          <w:tcPr>
            <w:tcW w:type="dxa" w:w="2268"/>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Dạng tài liệu</w:t>
            </w:r>
          </w:p>
        </w:tc>
        <w:tc>
          <w:tcPr>
            <w:tcW w:type="dxa" w:w="720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tự luận và lời giải hoặc hướng dẫn chấm; có cả PDF văn bản và PDF ảnh scan</w:t>
            </w:r>
          </w:p>
        </w:tc>
      </w:tr>
    </w:tbl>
    <w:p>
      <w:pPr>
        <w:spacing w:after="0"/>
      </w:pPr>
    </w:p>
    <w:p>
      <w:pPr>
        <w:jc w:val="both"/>
      </w:pPr>
      <w:r>
        <w:t>Ba thư mục được đưa lên Git gồm Đề, LaTeX và pdf_to_tex. Đề chứa PDF gốc; LaTeX chứa đề và đáp án đã chuyển đổi; pdf_to_tex chứa chương trình Python cùng hướng dẫn và tài liệu kiểm thử. Bộ LaTeX hiện có được tạo bằng cách trích xuất, đọc đối chiếu và biên soạn lại từng phần. Chương trình Python được viết sau để hỗ trợ tự động hóa quy trình này.</w:t>
      </w:r>
    </w:p>
    <w:p>
      <w:r>
        <w:br w:type="page"/>
      </w:r>
    </w:p>
    <w:p>
      <w:pPr>
        <w:pStyle w:val="Heading1"/>
        <w:jc w:val="left"/>
      </w:pPr>
      <w:r>
        <w:t>3. Danh mục đề và nguồn thu thập</w:t>
      </w:r>
    </w:p>
    <w:p>
      <w:pPr>
        <w:jc w:val="both"/>
      </w:pPr>
      <w:r>
        <w:t>Các đề thi do Sở Giáo dục và Đào tạo Hà Nội ban hành. Tài liệu được thu thập từ trang công bố của Sở, các trang đăng lại và tuyển tập TOANMATH. Cần phân biệt đáp án chính thức của Sở với lời giải biên soạn trong tuyển tập; hai loại tài liệu này được dùng làm nguồn đối chiếu cho từng bộ.</w:t>
      </w:r>
    </w:p>
    <w:tbl>
      <w:tblPr>
        <w:tblW w:type="auto" w:w="0"/>
        <w:jc w:val="center"/>
        <w:tblLayout w:type="fixed"/>
        <w:tblLook w:firstColumn="1" w:firstRow="1" w:lastColumn="0" w:lastRow="0" w:noHBand="0" w:noVBand="1" w:val="04A0"/>
      </w:tblPr>
      <w:tblGrid>
        <w:gridCol w:w="567"/>
        <w:gridCol w:w="850"/>
        <w:gridCol w:w="3061"/>
        <w:gridCol w:w="4989"/>
      </w:tblGrid>
      <w:tr>
        <w:trPr>
          <w:tblHeade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Bộ</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Năm</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jc w:val="center"/>
            </w:pPr>
            <w:r>
              <w:rPr>
                <w:b/>
                <w:color w:val="000000"/>
                <w:sz w:val="22"/>
              </w:rPr>
              <w:t>Cách lưu PDF</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jc w:val="center"/>
            </w:pPr>
            <w:r>
              <w:rPr>
                <w:b/>
                <w:color w:val="000000"/>
                <w:sz w:val="22"/>
              </w:rPr>
              <w:t>Liên kết nguồn</w:t>
            </w:r>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2026</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đáp án riêng</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10">
              <w:r>
                <w:rPr>
                  <w:color w:val="000000"/>
                  <w:sz w:val="22"/>
                  <w:u w:val="single"/>
                  <w:rFonts w:ascii="Times New Roman" w:hAnsi="Times New Roman" w:eastAsia="Times New Roman" w:cs="Times New Roman"/>
                </w:rPr>
                <w:t>Link đề và đáp án năm 2026</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2025</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đáp án riêng</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11">
              <w:r>
                <w:rPr>
                  <w:color w:val="000000"/>
                  <w:sz w:val="22"/>
                  <w:u w:val="single"/>
                  <w:rFonts w:ascii="Times New Roman" w:hAnsi="Times New Roman" w:eastAsia="Times New Roman" w:cs="Times New Roman"/>
                </w:rPr>
                <w:t>Link đề và đáp án năm 2025</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3</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2024</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đáp án riêng</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12">
              <w:r>
                <w:rPr>
                  <w:color w:val="000000"/>
                  <w:sz w:val="22"/>
                  <w:u w:val="single"/>
                  <w:rFonts w:ascii="Times New Roman" w:hAnsi="Times New Roman" w:eastAsia="Times New Roman" w:cs="Times New Roman"/>
                </w:rPr>
                <w:t>Link đề và đáp án năm 2024</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4</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2023</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đáp án riêng</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13">
              <w:r>
                <w:rPr>
                  <w:color w:val="000000"/>
                  <w:sz w:val="22"/>
                  <w:u w:val="single"/>
                  <w:rFonts w:ascii="Times New Roman" w:hAnsi="Times New Roman" w:eastAsia="Times New Roman" w:cs="Times New Roman"/>
                </w:rPr>
                <w:t>Link đề và đáp án năm 2023</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5</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2022</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14">
              <w:r>
                <w:rPr>
                  <w:color w:val="000000"/>
                  <w:sz w:val="22"/>
                  <w:u w:val="single"/>
                  <w:rFonts w:ascii="Times New Roman" w:hAnsi="Times New Roman" w:eastAsia="Times New Roman" w:cs="Times New Roman"/>
                </w:rPr>
                <w:t>Link đề và đáp án năm 2022</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6</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2021</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15">
              <w:r>
                <w:rPr>
                  <w:color w:val="000000"/>
                  <w:sz w:val="22"/>
                  <w:u w:val="single"/>
                  <w:rFonts w:ascii="Times New Roman" w:hAnsi="Times New Roman" w:eastAsia="Times New Roman" w:cs="Times New Roman"/>
                </w:rPr>
                <w:t>Link đề và đáp án năm 2021</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7</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2020</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0">
              <w:r>
                <w:rPr>
                  <w:color w:val="000000"/>
                  <w:sz w:val="22"/>
                  <w:u w:val="single"/>
                  <w:rFonts w:ascii="Times New Roman" w:hAnsi="Times New Roman" w:eastAsia="Times New Roman" w:cs="Times New Roman"/>
                </w:rPr>
                <w:t>Link đề và đáp án năm 2020</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8</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2019</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1">
              <w:r>
                <w:rPr>
                  <w:color w:val="000000"/>
                  <w:sz w:val="22"/>
                  <w:u w:val="single"/>
                  <w:rFonts w:ascii="Times New Roman" w:hAnsi="Times New Roman" w:eastAsia="Times New Roman" w:cs="Times New Roman"/>
                </w:rPr>
                <w:t>Link đề và đáp án năm 2019</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9</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2018</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2">
              <w:r>
                <w:rPr>
                  <w:color w:val="000000"/>
                  <w:sz w:val="22"/>
                  <w:u w:val="single"/>
                  <w:rFonts w:ascii="Times New Roman" w:hAnsi="Times New Roman" w:eastAsia="Times New Roman" w:cs="Times New Roman"/>
                </w:rPr>
                <w:t>Link đề và đáp án năm 2018</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10</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2017</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3">
              <w:r>
                <w:rPr>
                  <w:color w:val="000000"/>
                  <w:sz w:val="22"/>
                  <w:u w:val="single"/>
                  <w:rFonts w:ascii="Times New Roman" w:hAnsi="Times New Roman" w:eastAsia="Times New Roman" w:cs="Times New Roman"/>
                </w:rPr>
                <w:t>Link đề và đáp án năm 2017</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11</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2016</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4">
              <w:r>
                <w:rPr>
                  <w:color w:val="000000"/>
                  <w:sz w:val="22"/>
                  <w:u w:val="single"/>
                  <w:rFonts w:ascii="Times New Roman" w:hAnsi="Times New Roman" w:eastAsia="Times New Roman" w:cs="Times New Roman"/>
                </w:rPr>
                <w:t>Link đề và đáp án năm 2016</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12</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2015</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5">
              <w:r>
                <w:rPr>
                  <w:color w:val="000000"/>
                  <w:sz w:val="22"/>
                  <w:u w:val="single"/>
                  <w:rFonts w:ascii="Times New Roman" w:hAnsi="Times New Roman" w:eastAsia="Times New Roman" w:cs="Times New Roman"/>
                </w:rPr>
                <w:t>Link đề và đáp án năm 2015</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13</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2014</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6">
              <w:r>
                <w:rPr>
                  <w:color w:val="000000"/>
                  <w:sz w:val="22"/>
                  <w:u w:val="single"/>
                  <w:rFonts w:ascii="Times New Roman" w:hAnsi="Times New Roman" w:eastAsia="Times New Roman" w:cs="Times New Roman"/>
                </w:rPr>
                <w:t>Link đề và đáp án năm 2014</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14</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2013</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7">
              <w:r>
                <w:rPr>
                  <w:color w:val="000000"/>
                  <w:sz w:val="22"/>
                  <w:u w:val="single"/>
                  <w:rFonts w:ascii="Times New Roman" w:hAnsi="Times New Roman" w:eastAsia="Times New Roman" w:cs="Times New Roman"/>
                </w:rPr>
                <w:t>Link đề và đáp án năm 2013</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15</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2012</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8">
              <w:r>
                <w:rPr>
                  <w:color w:val="000000"/>
                  <w:sz w:val="22"/>
                  <w:u w:val="single"/>
                  <w:rFonts w:ascii="Times New Roman" w:hAnsi="Times New Roman" w:eastAsia="Times New Roman" w:cs="Times New Roman"/>
                </w:rPr>
                <w:t>Link đề và đáp án năm 2012</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16</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2011</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29">
              <w:r>
                <w:rPr>
                  <w:color w:val="000000"/>
                  <w:sz w:val="22"/>
                  <w:u w:val="single"/>
                  <w:rFonts w:ascii="Times New Roman" w:hAnsi="Times New Roman" w:eastAsia="Times New Roman" w:cs="Times New Roman"/>
                </w:rPr>
                <w:t>Link đề và đáp án năm 2011</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17</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2010</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30">
              <w:r>
                <w:rPr>
                  <w:color w:val="000000"/>
                  <w:sz w:val="22"/>
                  <w:u w:val="single"/>
                  <w:rFonts w:ascii="Times New Roman" w:hAnsi="Times New Roman" w:eastAsia="Times New Roman" w:cs="Times New Roman"/>
                </w:rPr>
                <w:t>Link đề và đáp án năm 2010</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18</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2009</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31">
              <w:r>
                <w:rPr>
                  <w:color w:val="000000"/>
                  <w:sz w:val="22"/>
                  <w:u w:val="single"/>
                  <w:rFonts w:ascii="Times New Roman" w:hAnsi="Times New Roman" w:eastAsia="Times New Roman" w:cs="Times New Roman"/>
                </w:rPr>
                <w:t>Link đề và đáp án năm 2009</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19</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2008</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32">
              <w:r>
                <w:rPr>
                  <w:color w:val="000000"/>
                  <w:sz w:val="22"/>
                  <w:u w:val="single"/>
                  <w:rFonts w:ascii="Times New Roman" w:hAnsi="Times New Roman" w:eastAsia="Times New Roman" w:cs="Times New Roman"/>
                </w:rPr>
                <w:t>Link đề và đáp án năm 2008</w:t>
              </w:r>
            </w:hyperlink>
          </w:p>
        </w:tc>
      </w:tr>
      <w:tr>
        <w:trPr>
          <w:cantSplit/>
        </w:trPr>
        <w:tc>
          <w:tcPr>
            <w:tcW w:type="dxa" w:w="56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w:t>
            </w:r>
          </w:p>
        </w:tc>
        <w:tc>
          <w:tcPr>
            <w:tcW w:type="dxa" w:w="850"/>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val="0"/>
                <w:color w:val="000000"/>
                <w:sz w:val="22"/>
              </w:rPr>
              <w:t>2007</w:t>
            </w:r>
          </w:p>
        </w:tc>
        <w:tc>
          <w:tcPr>
            <w:tcW w:type="dxa" w:w="3061"/>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Đề và lời giải gộp</w:t>
            </w:r>
          </w:p>
        </w:tc>
        <w:tc>
          <w:tcPr>
            <w:tcW w:type="dxa" w:w="498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before="0" w:after="0" w:line="247" w:lineRule="auto"/>
            </w:pPr>
            <w:r/>
            <w:hyperlink r:id="rId33">
              <w:r>
                <w:rPr>
                  <w:color w:val="000000"/>
                  <w:sz w:val="22"/>
                  <w:u w:val="single"/>
                  <w:rFonts w:ascii="Times New Roman" w:hAnsi="Times New Roman" w:eastAsia="Times New Roman" w:cs="Times New Roman"/>
                </w:rPr>
                <w:t>Link đề và đáp án năm 2007</w:t>
              </w:r>
            </w:hyperlink>
          </w:p>
        </w:tc>
      </w:tr>
    </w:tbl>
    <w:p>
      <w:pPr>
        <w:spacing w:after="0"/>
      </w:pPr>
    </w:p>
    <w:p>
      <w:pPr>
        <w:jc w:val="both"/>
      </w:pPr>
      <w:r>
        <w:t>Nhấn vào liên kết trong cột nguồn để mở trang đề và đáp án tương ứng. Đường dẫn đầy đủ được ghi ở mục 8. Các PDF gốc được lưu theo bộ số trong thư mục Đề.</w:t>
      </w:r>
    </w:p>
    <w:p>
      <w:r>
        <w:br w:type="page"/>
      </w:r>
    </w:p>
    <w:p>
      <w:pPr>
        <w:pStyle w:val="Heading1"/>
        <w:jc w:val="left"/>
      </w:pPr>
      <w:r>
        <w:t>4. Quy trình chuyển đổi đã sử dụng</w:t>
      </w:r>
    </w:p>
    <w:p>
      <w:pPr>
        <w:pStyle w:val="Heading2"/>
        <w:jc w:val="left"/>
      </w:pPr>
      <w:r>
        <w:t>4.1. Đọc nguồn và phục hồi công thức</w:t>
      </w:r>
    </w:p>
    <w:p>
      <w:pPr>
        <w:jc w:val="both"/>
      </w:pPr>
      <w:r>
        <w:t>Với PDF có lớp văn bản, pdfplumber được dùng để trích chữ. Bản trích xuất có thể sai thứ tự ký hiệu, tách phân số thành nhiều dòng hoặc làm mất dấu căn và chỉ số. Vì vậy, công thức phải được kiểm tra lại trên PDF trước khi đưa vào LaTeX.</w:t>
      </w:r>
    </w:p>
    <w:p>
      <w:pPr>
        <w:jc w:val="both"/>
      </w:pPr>
      <w:r>
        <w:t>Với PDF scan hoặc đoạn công thức không trích được, Poppler được dùng để chuyển trang PDF thành ảnh. Bản ảnh giúp đọc lại các ký hiệu và dữ kiện bị thiếu trong phần trích xuất.</w:t>
      </w:r>
    </w:p>
    <w:p>
      <w:pPr>
        <w:pStyle w:val="Heading2"/>
        <w:jc w:val="left"/>
      </w:pPr>
      <w:r>
        <w:t>4.2. Biên soạn LaTeX và lọc nội dung</w:t>
      </w:r>
    </w:p>
    <w:p>
      <w:pPr>
        <w:jc w:val="both"/>
      </w:pPr>
      <w:r>
        <w:t>Nội dung được viết lại bằng LaTeX, gồm văn bản, phân số, căn thức, hệ phương trình và các bước giải. Mỗi bộ được tách thành de-thi.tex và dap-an.tex. Khi bỏ bài hình học, các câu và ý còn lại phải giữ nguyên số thứ tự của PDF gốc.</w:t>
      </w:r>
    </w:p>
    <w:p>
      <w:pPr>
        <w:jc w:val="both"/>
      </w:pPr>
      <w:r>
        <w:t>Một số tiêu đề, lời văn và cách trình bày lời giải đã được biên soạn hoặc rút gọn trong quá trình chuyển đổi. Vì vậy, bộ LaTeX hiện có chưa phải bản sao nguyên văn PDF. Muốn tạo bản chép sát nguồn, cần đối chiếu và phục hồi đúng lời văn, công thức và nhãn câu.</w:t>
      </w:r>
    </w:p>
    <w:p>
      <w:pPr>
        <w:pStyle w:val="Heading2"/>
        <w:jc w:val="left"/>
      </w:pPr>
      <w:r>
        <w:t>4.3. Kiểm tra và lỗi đã ghi nhận</w:t>
      </w:r>
    </w:p>
    <w:p>
      <w:pPr>
        <w:jc w:val="both"/>
      </w:pPr>
      <w:r>
        <w:t>XeLaTeX được dùng để kiểm tra lỗi cú pháp và tạo bản PDF xem trước. Một tệp biên dịch thành công vẫn có thể chứa số liệu hoặc công thức khác bản gốc. Việc kiểm tra nội dung vì thế cần thực hiện riêng với PDF nguồn.</w:t>
      </w:r>
    </w:p>
    <w:p>
      <w:pPr>
        <w:jc w:val="both"/>
      </w:pPr>
      <w:r>
        <w:t>Ở bộ năm 2024, bài tối ưu thuộc Câu V từng bị ghi thành Câu IV sau khi loại bài hình học. Lỗi này đã được sửa trong cả đề và đáp án. Khi bỏ một câu, số của các câu phía sau phải được giữ nguyên.</w:t>
      </w:r>
    </w:p>
    <w:p>
      <w:pPr>
        <w:jc w:val="both"/>
      </w:pPr>
      <w:r>
        <w:t>Chưa hoàn tất một đợt đối chiếu độc lập từng dòng cho cả 20 bộ. Nội dung cần được kiểm tra thêm trước khi dùng làm dữ liệu chuẩn.</w:t>
      </w:r>
    </w:p>
    <w:p>
      <w:r>
        <w:br w:type="page"/>
      </w:r>
    </w:p>
    <w:p>
      <w:pPr>
        <w:pStyle w:val="Heading1"/>
        <w:jc w:val="left"/>
      </w:pPr>
      <w:r>
        <w:t>5. Giải thích chương trình convert.py</w:t>
      </w:r>
    </w:p>
    <w:p>
      <w:pPr>
        <w:jc w:val="both"/>
      </w:pPr>
      <w:r>
        <w:t>convert.py được thiết kế để nhận đường dẫn PDF, dùng Marker nhận dạng chữ và công thức, sau đó dùng Pandoc xuất LaTeX. Bước nhận dạng này gọi là OCR. Kết quả được lưu qua Markdown, một dạng văn bản trung gian, trước khi xuất LaTeX. Chương trình chạy trên máy và không bật dịch vụ nhận dạng trả phí. Các đoạn mã dưới đây được trích để giải thích; mã đầy đủ nằm trong pdf_to_tex/convert.py.</w:t>
      </w:r>
    </w:p>
    <w:p>
      <w:pPr>
        <w:pStyle w:val="Heading2"/>
        <w:jc w:val="left"/>
      </w:pPr>
      <w:r>
        <w:t>5.1. Đầu vào và luồng chạy chính</w:t>
      </w:r>
    </w:p>
    <w:p>
      <w:pPr>
        <w:jc w:val="both"/>
      </w:pPr>
      <w:r>
        <w:t>Hàm main() dùng argparse để đọc đường dẫn và các tùy chọn. Nếu chưa truyền đường dẫn, chương trình yêu cầu nhập bằng input(). Đầu vào có thể là một PDF hoặc một thư mục; với thư mục, chương trình tìm các PDF trong cả thư mục con.</w:t>
      </w:r>
    </w:p>
    <w:p>
      <w:pPr>
        <w:jc w:val="both"/>
      </w:pPr>
      <w:r>
        <w:t>Sau khi kiểm tra đầu vào, main() nạp mô hình, xử lý từng PDF, lưu kết quả OCR, lọc nội dung nếu có cấu hình, xuất LaTeX và ghi báo cáo. Tùy chọn --compile bổ sung bước biên dịch thành PDF. --plan chỉ in danh sách công việc rồi kết thúc trước khi tải mô hình.</w:t>
      </w:r>
    </w:p>
    <w:p>
      <w:pPr>
        <w:jc w:val="both"/>
      </w:pPr>
      <w:r>
        <w:t>Ví dụ chạy từ thư mục chứa Đề, LaTeX và pdf_to_tex:</w:t>
      </w:r>
    </w:p>
    <w:p>
      <w:pPr>
        <w:keepLines/>
        <w:spacing w:line="240" w:lineRule="auto"/>
        <w:jc w:val="left"/>
      </w:pPr>
      <w:r>
        <w:rPr>
          <w:rFonts w:ascii="Consolas" w:hAnsi="Consolas"/>
          <w:color w:val="000000"/>
          <w:sz w:val="18"/>
        </w:rPr>
        <w:t>python pdf_to_tex/convert.py "Đề/3/de-thi-2024.pdf"</w:t>
        <w:br/>
        <w:t>python pdf_to_tex/convert.py "Đề/3/de-thi-2024.pdf" --plan</w:t>
      </w:r>
    </w:p>
    <w:p>
      <w:pPr>
        <w:jc w:val="both"/>
      </w:pPr>
      <w:r>
        <w:t>Các tùy chọn khác gồm --device để chọn CPU hoặc GPU CUDA, --limit để giới hạn số PDF, --manifest để đọc cấu hình từ JSON và --output để đổi nơi lưu kết quả. --from-markdown cho phép xuất lại một bản Markdown đã kiểm tra mà không chạy OCR.</w:t>
      </w:r>
    </w:p>
    <w:p>
      <w:pPr>
        <w:pStyle w:val="Heading2"/>
        <w:jc w:val="left"/>
      </w:pPr>
      <w:r>
        <w:t>5.2. Đường dẫn đầu ra và kiểm tra môi trường</w:t>
      </w:r>
    </w:p>
    <w:p>
      <w:pPr>
        <w:keepLines/>
        <w:spacing w:line="240" w:lineRule="auto"/>
        <w:jc w:val="left"/>
      </w:pPr>
      <w:r>
        <w:rPr>
          <w:rFonts w:ascii="Consolas" w:hAnsi="Consolas"/>
          <w:color w:val="000000"/>
          <w:sz w:val="18"/>
        </w:rPr>
        <w:t>DEFAULT_OUTPUT = Path(__file__).resolve().parent / 'output'</w:t>
      </w:r>
    </w:p>
    <w:p>
      <w:pPr>
        <w:jc w:val="both"/>
      </w:pPr>
      <w:r>
        <w:t>Path(__file__).resolve().parent lấy thư mục chứa convert.py. Nối thêm output tạo nơi lưu mặc định là pdf_to_tex/output, không phụ thuộc vị trí đang mở terminal. Mỗi PDF có một thư mục kết quả riêng, bên trong có document.tex và các tệp hỗ trợ.</w:t>
      </w:r>
    </w:p>
    <w:p>
      <w:pPr>
        <w:jc w:val="both"/>
      </w:pPr>
      <w:r>
        <w:t>main() kiểm tra tệp nguồn có tồn tại và đích không trùng công việc khác hoặc kết quả đã có. Mã hiện tại còn yêu cầu output nằm ngoài thư mục nguồn. Nếu đặt PDF ngay cạnh convert.py, cần dùng --output để chọn nơi khác. Các điều kiện này được kiểm tra trước khi tải mô hình.</w:t>
      </w:r>
    </w:p>
    <w:p>
      <w:pPr>
        <w:jc w:val="both"/>
      </w:pPr>
      <w:r>
        <w:t>Hàm doctor(), chạy qua --doctor, in phiên bản Python và kiểm tra sự hiện diện của Marker, PyTorch, pypandoc, Pandoc và lệnh XeLaTeX. Nó chưa kiểm tra mô hình có chạy được hoặc GPU có tương thích hay không. XeLaTeX chỉ cần thiết nếu dùng --compile.</w:t>
      </w:r>
    </w:p>
    <w:p>
      <w:pPr>
        <w:pStyle w:val="Heading2"/>
        <w:jc w:val="left"/>
      </w:pPr>
      <w:r>
        <w:t>5.3. Nạp mô hình và nhận dạng PDF</w:t>
      </w:r>
    </w:p>
    <w:p>
      <w:pPr>
        <w:jc w:val="both"/>
      </w:pPr>
      <w:r>
        <w:t>create_model_dict() nạp các mô hình OCR một lần để dùng chung trong lượt chạy. Với mỗi PDF, main() tạo PdfConverter theo cấu hình và gọi converter(str(pdf)). text_from_rendered() lấy văn bản Markdown cùng các ảnh từ kết quả nhận dạng.</w:t>
      </w:r>
    </w:p>
    <w:p>
      <w:pPr>
        <w:keepLines/>
        <w:spacing w:line="240" w:lineRule="auto"/>
        <w:jc w:val="left"/>
      </w:pPr>
      <w:r>
        <w:rPr>
          <w:rFonts w:ascii="Consolas" w:hAnsi="Consolas"/>
          <w:color w:val="000000"/>
          <w:sz w:val="18"/>
        </w:rPr>
        <w:t>config = {'output_format': 'markdown', 'force_ocr': True,</w:t>
        <w:br/>
        <w:t xml:space="preserve">          'use_llm': False, 'keep_pageheader_in_output': True,</w:t>
        <w:br/>
        <w:t xml:space="preserve">          'keep_pagefooter_in_output': True,</w:t>
        <w:br/>
        <w:t xml:space="preserve">          'disable_multiprocessing': True}</w:t>
        <w:br/>
        <w:t>rendered = converter(str(pdf))</w:t>
        <w:br/>
        <w:t>markdown, _, images = text_from_rendered(rendered)</w:t>
      </w:r>
    </w:p>
    <w:p>
      <w:pPr>
        <w:jc w:val="both"/>
      </w:pPr>
      <w:r>
        <w:t>force_ocr=True yêu cầu nhận dạng lại cả PDF có lớp chữ để xử lý công thức trong dòng. use_llm=False không bật bước hỗ trợ bằng dịch vụ LLM. Hai tùy chọn giữ đầu và cuối trang yêu cầu Marker bảo toàn các phần này. Cấu hình tắt xử lý song song giới hạn phần trích xuất PDF ở một tiến trình.</w:t>
      </w:r>
    </w:p>
    <w:p>
      <w:pPr>
        <w:jc w:val="both"/>
      </w:pPr>
      <w:r>
        <w:t>Văn bản nhận dạng được lưu vào raw.md, thông tin xử lý vào metadata.json và các ảnh được lưu kèm. Nếu cấu hình khai báo pages, chương trình chỉ xử lý các trang đó; chỉ số trang bắt đầu từ 0. Kết quả OCR vẫn cần đối chiếu với PDF vì mô hình có thể nhận sai ký hiệu.</w:t>
      </w:r>
    </w:p>
    <w:p>
      <w:pPr>
        <w:pStyle w:val="Heading2"/>
        <w:jc w:val="left"/>
      </w:pPr>
      <w:r>
        <w:t>5.4. Lọc nội dung bằng select_content</w:t>
      </w:r>
    </w:p>
    <w:p>
      <w:pPr>
        <w:jc w:val="both"/>
      </w:pPr>
      <w:r>
        <w:t>select_content(markdown, job) chọn phần văn bản theo cấu hình của từng PDF. start giữ từ mốc bắt đầu trở đi; end giữ phần trước mốc kết thúc. Danh sách exclude xác định các đoạn cần bỏ trong phần đã chọn. Mỗi mốc phải là chuỗi xuất hiện đúng một lần; mốc kết thúc phải nằm sau mốc bắt đầu.</w:t>
      </w:r>
    </w:p>
    <w:p>
      <w:pPr>
        <w:keepLines/>
        <w:spacing w:line="240" w:lineRule="auto"/>
        <w:jc w:val="left"/>
      </w:pPr>
      <w:r>
        <w:rPr>
          <w:rFonts w:ascii="Consolas" w:hAnsi="Consolas"/>
          <w:color w:val="000000"/>
          <w:sz w:val="18"/>
        </w:rPr>
        <w:t>for cut in job.get('exclude', []):</w:t>
        <w:br/>
        <w:t xml:space="preserve">    a, b = cut['start'], cut['end']</w:t>
        <w:br/>
        <w:t xml:space="preserve">    i, j = markdown.index(a), markdown.index(b)</w:t>
        <w:br/>
        <w:t xml:space="preserve">    markdown = markdown[:i] + markdown[j:]</w:t>
      </w:r>
    </w:p>
    <w:p>
      <w:pPr>
        <w:jc w:val="both"/>
      </w:pPr>
      <w:r>
        <w:t>Trong đoạn mã này, phần trước vị trí i được nối với phần từ vị trí j trở đi. Các bước kiểm tra mốc được thực hiện trước thao tác nối. Nếu kết quả rỗng hoặc mốc không hợp lệ, hàm báo lỗi. Ví dụ bỏ từ Câu IV đến trước Câu V sẽ giữ nguyên nhãn Câu V. Hàm chỉ cắt văn bản theo cấu hình, chưa tự xác định đoạn nào là hình học.</w:t>
      </w:r>
    </w:p>
    <w:p>
      <w:pPr>
        <w:pStyle w:val="Heading2"/>
        <w:jc w:val="left"/>
      </w:pPr>
      <w:r>
        <w:t>5.5. Xuất LaTeX và biên dịch</w:t>
      </w:r>
    </w:p>
    <w:p>
      <w:pPr>
        <w:jc w:val="both"/>
      </w:pPr>
      <w:r>
        <w:t>to_tex(markdown, directory) lưu nội dung sau lọc vào selected.md rồi gọi Pandoc để tạo document.tex. Các tùy chọn đầu vào cho phép đọc công thức trong Markdown và mã TeX thô. Pandoc chuyển cấu trúc tài liệu sang LaTeX, không tự giải bài hoặc sửa đáp án.</w:t>
      </w:r>
    </w:p>
    <w:p>
      <w:pPr>
        <w:keepLines/>
        <w:spacing w:line="240" w:lineRule="auto"/>
        <w:jc w:val="left"/>
      </w:pPr>
      <w:r>
        <w:rPr>
          <w:rFonts w:ascii="Consolas" w:hAnsi="Consolas"/>
          <w:color w:val="000000"/>
          <w:sz w:val="18"/>
        </w:rPr>
        <w:t>pypandoc.convert_file(str(source), 'latex',</w:t>
        <w:br/>
        <w:t xml:space="preserve">    format='markdown+tex_math_dollars+tex_math_single_backslash+raw_tex',</w:t>
        <w:br/>
        <w:t xml:space="preserve">    outputfile=str(tex), extra_args=[...])</w:t>
      </w:r>
    </w:p>
    <w:p>
      <w:pPr>
        <w:jc w:val="both"/>
      </w:pPr>
      <w:r>
        <w:t>Trong mã đầy đủ, --standalone tạo tài liệu LaTeX độc lập. Các thiết lập định dạng gồm Times New Roman, cỡ chữ 12 pt, khổ A4 và lề 2 cm. --resource-path chỉ nơi tìm ảnh; --wrap=none không tự ngắt dòng mã theo chiều rộng cố định. Chương trình thêm chỉ dẫn dùng XeLaTeX ở đầu file.</w:t>
      </w:r>
    </w:p>
    <w:p>
      <w:pPr>
        <w:jc w:val="both"/>
      </w:pPr>
      <w:r>
        <w:t>Khi có --compile, compile_tex(tex, timeout) tìm lệnh xelatex rồi gọi hai lần bằng subprocess.run(). -no-shell-escape không cho tài liệu chạy lệnh shell; -interaction=nonstopmode chạy không hỏi tương tác; -halt-on-error dừng khi gặp lỗi. Thời gian chờ mặc định cho mỗi lần gọi là 600 giây, có thể đổi bằng --timeout. Thông báo biên dịch được ghi vào build-output.txt; nếu mã trả về khác 0, hàm báo lỗi.</w:t>
      </w:r>
    </w:p>
    <w:p>
      <w:pPr>
        <w:pStyle w:val="Heading2"/>
        <w:jc w:val="left"/>
      </w:pPr>
      <w:r>
        <w:t>5.6. Cảnh báo và báo cáo kết quả</w:t>
      </w:r>
    </w:p>
    <w:p>
      <w:pPr>
        <w:jc w:val="both"/>
      </w:pPr>
      <w:r>
        <w:t>digest(path) đọc PDF theo các khối 1 MB để tính mã băm SHA-256, giúp xác định tệp nguồn gắn với kết quả chuyển đổi. warnings_for(text) tìm các dấu hiệu như ký tự lỗi, mã cid, bảng HTML còn thô, nội dung chứa ảnh hoặc văn bản quá ngắn. Những quy tắc này không đánh giá được toàn bộ lỗi toán học.</w:t>
      </w:r>
    </w:p>
    <w:p>
      <w:pPr>
        <w:jc w:val="both"/>
      </w:pPr>
      <w:r>
        <w:t>Mỗi kết quả có report.json ghi nguồn, SHA-256, cấu hình, phiên bản thư viện, cảnh báo và trạng thái. content_verified được đặt là false vì chương trình chưa tự xác minh nội dung. Trạng thái converted_needs_review nghĩa là đã xuất LaTeX và còn cần kiểm tra; failed nghĩa là công việc gặp lỗi. Báo cáo tổng được cập nhật trong output.</w:t>
      </w:r>
    </w:p>
    <w:p>
      <w:pPr>
        <w:jc w:val="both"/>
      </w:pPr>
      <w:r>
        <w:t>Lỗi xảy ra trong khối xử lý một PDF được ghi lại để chương trình tiếp tục PDF sau. Lỗi đường dẫn, thiếu thư viện hoặc không nạp được mô hình xảy ra trước vòng lặp nên chưa tạo báo cáo cho từng PDF. Khi kết thúc bình thường, main() trả 0 nếu các công việc không có trạng thái failed và trả 1 nếu có thất bại; nhánh thiếu thư viện trả 2. raise SystemExit(main()) chuyển giá trị đó thành mã thoát của chương trình.</w:t>
      </w:r>
    </w:p>
    <w:p>
      <w:pPr>
        <w:pStyle w:val="Heading2"/>
        <w:jc w:val="left"/>
      </w:pPr>
      <w:r>
        <w:t>5.7. Kết quả kiểm thử hiện có</w:t>
      </w:r>
    </w:p>
    <w:p>
      <w:pPr>
        <w:jc w:val="both"/>
      </w:pPr>
      <w:r>
        <w:t>Tài liệu kiểm thử trong pdf_to_tex ghi nhận 5 bài kiểm tra mã đã đạt, chế độ --plan liệt kê đủ 24 PDF và một mẫu Markdown đã được xuất thành LaTeX bằng Pandoc. Chưa xác minh OCR trên bộ PDF thật vì Marker và PyTorch chưa được cài đầy đủ trong môi trường kiểm thử. Vì vậy, các kết quả hiện có chưa cho biết độ chính xác nhận dạng của chương trình.</w:t>
      </w:r>
    </w:p>
    <w:p>
      <w:pPr>
        <w:pStyle w:val="Heading1"/>
        <w:jc w:val="left"/>
      </w:pPr>
      <w:r>
        <w:t>6. Cách xác định và bỏ bài hình học</w:t>
      </w:r>
    </w:p>
    <w:p>
      <w:pPr>
        <w:jc w:val="both"/>
      </w:pPr>
      <w:r>
        <w:t>Bài hình học có thể nằm ở những câu khác nhau tùy năm. Vì vậy, phải xét nội dung và yêu cầu của từng câu, từng ý thay vì loại theo một số câu cố định. Bảng dưới minh họa cách xử lý theo phạm vi của bộ tài liệu.</w:t>
      </w:r>
    </w:p>
    <w:tbl>
      <w:tblPr>
        <w:tblW w:type="auto" w:w="0"/>
        <w:jc w:val="center"/>
        <w:tblLayout w:type="fixed"/>
        <w:tblLook w:firstColumn="1" w:firstRow="1" w:lastColumn="0" w:lastRow="0" w:noHBand="0" w:noVBand="1" w:val="04A0"/>
      </w:tblPr>
      <w:tblGrid>
        <w:gridCol w:w="4309"/>
        <w:gridCol w:w="1417"/>
        <w:gridCol w:w="3742"/>
      </w:tblGrid>
      <w:tr>
        <w:trPr>
          <w:tblHeader/>
          <w:cantSplit/>
        </w:trPr>
        <w:tc>
          <w:tcPr>
            <w:tcW w:type="dxa" w:w="430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Nội dung nhận diện</w:t>
            </w:r>
          </w:p>
        </w:tc>
        <w:tc>
          <w:tcPr>
            <w:tcW w:type="dxa" w:w="141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Xử lý</w:t>
            </w:r>
          </w:p>
        </w:tc>
        <w:tc>
          <w:tcPr>
            <w:tcW w:type="dxa" w:w="3742"/>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center"/>
            </w:pPr>
            <w:r>
              <w:rPr>
                <w:rFonts w:ascii="Times New Roman" w:hAnsi="Times New Roman"/>
                <w:b/>
                <w:color w:val="000000"/>
                <w:sz w:val="22"/>
              </w:rPr>
              <w:t>Lý do</w:t>
            </w:r>
          </w:p>
        </w:tc>
      </w:tr>
      <w:tr>
        <w:trPr>
          <w:cantSplit/>
        </w:trPr>
        <w:tc>
          <w:tcPr>
            <w:tcW w:type="dxa" w:w="430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Tiếp tuyến đường tròn và yêu cầu chứng minh tứ giác nội tiếp</w:t>
            </w:r>
          </w:p>
        </w:tc>
        <w:tc>
          <w:tcPr>
            <w:tcW w:type="dxa" w:w="141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Bỏ</w:t>
            </w:r>
          </w:p>
        </w:tc>
        <w:tc>
          <w:tcPr>
            <w:tcW w:type="dxa" w:w="3742"/>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Hình học chứng minh</w:t>
            </w:r>
          </w:p>
        </w:tc>
      </w:tr>
      <w:tr>
        <w:trPr>
          <w:cantSplit/>
        </w:trPr>
        <w:tc>
          <w:tcPr>
            <w:tcW w:type="dxa" w:w="430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Tam giác và yêu cầu chứng minh đồng dạng hoặc dựng hình</w:t>
            </w:r>
          </w:p>
        </w:tc>
        <w:tc>
          <w:tcPr>
            <w:tcW w:type="dxa" w:w="141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Bỏ</w:t>
            </w:r>
          </w:p>
        </w:tc>
        <w:tc>
          <w:tcPr>
            <w:tcW w:type="dxa" w:w="3742"/>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Hình học chứng minh hoặc dựng hình</w:t>
            </w:r>
          </w:p>
        </w:tc>
      </w:tr>
      <w:tr>
        <w:trPr>
          <w:cantSplit/>
        </w:trPr>
        <w:tc>
          <w:tcPr>
            <w:tcW w:type="dxa" w:w="430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Đường thẳng và parabol trong hệ tọa độ</w:t>
            </w:r>
          </w:p>
        </w:tc>
        <w:tc>
          <w:tcPr>
            <w:tcW w:type="dxa" w:w="141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Giữ</w:t>
            </w:r>
          </w:p>
        </w:tc>
        <w:tc>
          <w:tcPr>
            <w:tcW w:type="dxa" w:w="3742"/>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Hàm số và đại số tọa độ</w:t>
            </w:r>
          </w:p>
        </w:tc>
      </w:tr>
      <w:tr>
        <w:trPr>
          <w:cantSplit/>
        </w:trPr>
        <w:tc>
          <w:tcPr>
            <w:tcW w:type="dxa" w:w="430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Bình hình trụ và yêu cầu tính diện tích xung quanh</w:t>
            </w:r>
          </w:p>
        </w:tc>
        <w:tc>
          <w:tcPr>
            <w:tcW w:type="dxa" w:w="141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Giữ</w:t>
            </w:r>
          </w:p>
        </w:tc>
        <w:tc>
          <w:tcPr>
            <w:tcW w:type="dxa" w:w="3742"/>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Đo lường và toán ứng dụng</w:t>
            </w:r>
          </w:p>
        </w:tc>
      </w:tr>
      <w:tr>
        <w:trPr>
          <w:cantSplit/>
        </w:trPr>
        <w:tc>
          <w:tcPr>
            <w:tcW w:type="dxa" w:w="4309"/>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Câu có cả chứng minh hình và ý tính thể tích độc lập</w:t>
            </w:r>
          </w:p>
        </w:tc>
        <w:tc>
          <w:tcPr>
            <w:tcW w:type="dxa" w:w="1417"/>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Xét từng ý</w:t>
            </w:r>
          </w:p>
        </w:tc>
        <w:tc>
          <w:tcPr>
            <w:tcW w:type="dxa" w:w="3742"/>
            <w:vAlign w:val="center"/>
            <w:tcMar>
              <w:top w:w="65" w:type="dxa"/>
              <w:bottom w:w="65" w:type="dxa"/>
              <w:left w:w="85" w:type="dxa"/>
              <w:right w:w="85" w:type="dxa"/>
            </w:tcMar>
            <w:tcBorders>
              <w:top w:val="single" w:sz="4" w:color="000000"/>
              <w:left w:val="single" w:sz="4" w:color="000000"/>
              <w:bottom w:val="single" w:sz="4" w:color="000000"/>
              <w:right w:val="single" w:sz="4" w:color="000000"/>
            </w:tcBorders>
          </w:tcPr>
          <w:p>
            <w:pPr>
              <w:spacing w:after="0" w:line="247" w:lineRule="auto" w:before="0"/>
              <w:jc w:val="left"/>
            </w:pPr>
            <w:r>
              <w:rPr>
                <w:rFonts w:ascii="Times New Roman" w:hAnsi="Times New Roman"/>
                <w:b w:val="0"/>
                <w:color w:val="000000"/>
                <w:sz w:val="22"/>
              </w:rPr>
              <w:t>Tránh loại mất phần cần giữ</w:t>
            </w:r>
          </w:p>
        </w:tc>
      </w:tr>
    </w:tbl>
    <w:p>
      <w:pPr>
        <w:spacing w:after="0"/>
      </w:pPr>
    </w:p>
    <w:p>
      <w:pPr>
        <w:pStyle w:val="Heading2"/>
        <w:jc w:val="left"/>
      </w:pPr>
      <w:r>
        <w:t>6.1. Chức năng hiện có</w:t>
      </w:r>
    </w:p>
    <w:p>
      <w:pPr>
        <w:jc w:val="both"/>
      </w:pPr>
      <w:r>
        <w:t>Chức năng lọc hiện có của convert.py được giải thích ở mục 5.4. Người dùng xác định phần cần bỏ trong raw.md rồi khai báo mốc bắt đầu và kết thúc trong exclude. Cấu hình của đề này không nên áp dụng nguyên xi cho đề khác vì nhãn câu và cách OCR có thể khác nhau.</w:t>
      </w:r>
    </w:p>
    <w:p>
      <w:pPr>
        <w:jc w:val="both"/>
      </w:pPr>
      <w:r>
        <w:t>Phần đáp án phải được lọc theo đúng câu hoặc ý đã bỏ ở đề. Chương trình chưa tự ghép các ý đề với lời giải tương ứng; bước này vẫn cần kiểm tra, nhất là với PDF có lời giải xen kẽ từng câu.</w:t>
      </w:r>
    </w:p>
    <w:p>
      <w:pPr>
        <w:pStyle w:val="Heading2"/>
        <w:jc w:val="left"/>
      </w:pPr>
      <w:r>
        <w:t>6.2. Đề xuất nhận diện tự động</w:t>
      </w:r>
    </w:p>
    <w:p>
      <w:pPr>
        <w:jc w:val="both"/>
      </w:pPr>
      <w:r>
        <w:t>Để nhận diện tự động, có thể xét đồng thời đối tượng trong bài và yêu cầu cần thực hiện. Những từ như đường tròn, tiếp tuyến, nội tiếp hoặc đồng dạng là dấu hiệu hình học, nhưng chưa đủ để quyết định loại bài. Chẳng hạn, từ chứng minh cũng xuất hiện trong các bài đại số; bài hình trụ có thể chỉ yêu cầu tính diện tích và cần được giữ.</w:t>
      </w:r>
    </w:p>
    <w:p>
      <w:pPr>
        <w:jc w:val="both"/>
      </w:pPr>
      <w:r>
        <w:t>Có thể bổ sung bước tách từng câu thành các ý, phân loại theo nội dung rồi đánh dấu phần cần bỏ. Phần chưa phân loại chắc chắn sẽ được giữ lại để kiểm tra. Chức năng nhận diện này chưa có trong convert.py và chưa được đánh giá độ chính xác.</w:t>
      </w:r>
    </w:p>
    <w:p>
      <w:pPr>
        <w:pStyle w:val="Heading1"/>
        <w:jc w:val="left"/>
      </w:pPr>
      <w:r>
        <w:t>7. Kiểm tra kết quả và công việc tiếp theo</w:t>
      </w:r>
    </w:p>
    <w:p>
      <w:pPr>
        <w:jc w:val="both"/>
      </w:pPr>
      <w:r>
        <w:t>Mỗi bản chuyển đổi cần được kiểm tra theo hai việc. Thứ nhất, so sánh với PDF gốc để xác nhận đủ câu và ý cần giữ, đúng dữ kiện, điều kiện, công thức và số thứ tự; đáp án phải tương ứng với đề. Thứ hai, xem bản PDF sau biên dịch để phát hiện tràn dòng, mất ký hiệu, ảnh lỗi hoặc ngắt trang không phù hợp.</w:t>
      </w:r>
    </w:p>
    <w:p>
      <w:pPr>
        <w:jc w:val="both"/>
      </w:pPr>
      <w:r>
        <w:t>Bước tiếp theo là chạy thử chương trình trên một PDF có lớp văn bản và một PDF scan, đối chiếu kết quả rồi ghi lại các lỗi nhận dạng. Sau khi kiểm tra chất lượng OCR mới nên xử lý cả bộ và thử bổ sung chức năng nhận diện hình học.</w:t>
      </w:r>
    </w:p>
    <w:p>
      <w:pPr>
        <w:pStyle w:val="Heading1"/>
        <w:jc w:val="left"/>
      </w:pPr>
      <w:r>
        <w:t>8. Nguồn tham khảo</w:t>
      </w:r>
    </w:p>
    <w:p>
      <w:pPr>
        <w:jc w:val="left"/>
      </w:pPr>
      <w:r>
        <w:t>Sở GDĐT Hà Nội công bố đề và đáp án năm 2026</w:t>
        <w:br/>
      </w:r>
      <w:hyperlink r:id="rId10">
        <w:r>
          <w:rPr>
            <w:rFonts w:ascii="Times New Roman" w:hAnsi="Times New Roman" w:eastAsia="Times New Roman" w:cs="Times New Roman"/>
            <w:color w:val="000000"/>
            <w:sz w:val="20"/>
          </w:rPr>
          <w:t>https://hanoi.edu.vn/phong-quan-ly-thi-va-kdcl/ha-noi-cong-bo-de-thi-va-dap-an-cac-mon-toan-ngu-van-ngoai-ngu-khong-chuyen-ky/ctmb/552/16984</w:t>
        </w:r>
      </w:hyperlink>
    </w:p>
    <w:p>
      <w:pPr>
        <w:jc w:val="left"/>
      </w:pPr>
      <w:r>
        <w:t>Sở GDĐT Hà Nội công bố đề và đáp án năm 2025</w:t>
        <w:br/>
      </w:r>
      <w:hyperlink r:id="rId11">
        <w:r>
          <w:rPr>
            <w:rFonts w:ascii="Times New Roman" w:hAnsi="Times New Roman" w:eastAsia="Times New Roman" w:cs="Times New Roman"/>
            <w:color w:val="000000"/>
            <w:sz w:val="20"/>
          </w:rPr>
          <w:t>https://www.hanoi.edu.vn/phong-quan-ly-thi-va-kdcl/ha-noi-cong-bo-de-thi-va-dap-an-cac-mon-toan-ngu-van-ngoai-ngu-khong-chuyen-ky/ctmb/552/16329</w:t>
        </w:r>
      </w:hyperlink>
    </w:p>
    <w:p>
      <w:pPr>
        <w:jc w:val="left"/>
      </w:pPr>
      <w:r>
        <w:t>Sở GDĐT Hà Nội công bố đề và đáp án năm 2024</w:t>
        <w:br/>
      </w:r>
      <w:hyperlink r:id="rId12">
        <w:r>
          <w:rPr>
            <w:rFonts w:ascii="Times New Roman" w:hAnsi="Times New Roman" w:eastAsia="Times New Roman" w:cs="Times New Roman"/>
            <w:color w:val="000000"/>
            <w:sz w:val="20"/>
          </w:rPr>
          <w:t>https://www.hanoi.edu.vn/phong-quan-ly-thi-va-kdcl/ha-noi-cong-bo-de-thi-va-dap-an-cac-mon-toan-ngu-van-ngoai-ngu-khong-chuyen-ky/ctmb/552/15448</w:t>
        </w:r>
      </w:hyperlink>
    </w:p>
    <w:p>
      <w:pPr>
        <w:jc w:val="left"/>
      </w:pPr>
      <w:r>
        <w:t>Cổng Chính phủ đăng đề và đáp án Hà Nội năm 2023</w:t>
        <w:br/>
      </w:r>
      <w:hyperlink r:id="rId13">
        <w:r>
          <w:rPr>
            <w:rFonts w:ascii="Times New Roman" w:hAnsi="Times New Roman" w:eastAsia="Times New Roman" w:cs="Times New Roman"/>
            <w:color w:val="000000"/>
            <w:sz w:val="20"/>
          </w:rPr>
          <w:t>https://xaydungchinhsach.chinhphu.vn/de-va-dap-an-cac-mon-thi-tuyen-sinh-lop-10-ha-noi-2023-119230616000748551.htm</w:t>
        </w:r>
      </w:hyperlink>
    </w:p>
    <w:p>
      <w:pPr>
        <w:jc w:val="left"/>
      </w:pPr>
      <w:r>
        <w:t>Sở GDĐT Hà Nội công bố đề và đáp án năm 2022</w:t>
        <w:br/>
      </w:r>
      <w:hyperlink r:id="rId14">
        <w:r>
          <w:rPr>
            <w:rFonts w:ascii="Times New Roman" w:hAnsi="Times New Roman" w:eastAsia="Times New Roman" w:cs="Times New Roman"/>
            <w:color w:val="000000"/>
            <w:sz w:val="20"/>
          </w:rPr>
          <w:t>https://www.hanoi.edu.vn/tin-tuc-su-kien/de-thi-chinh-thuc-dap-an-mon-toan-ky-thi-tuyen-sinh-vao-lop-10-thpt-nam-hoc-202/ctmb/525/12862</w:t>
        </w:r>
      </w:hyperlink>
    </w:p>
    <w:p>
      <w:pPr>
        <w:jc w:val="left"/>
      </w:pPr>
      <w:r>
        <w:t>Tuyensinh247 đăng đề và đáp án Hà Nội năm 2021</w:t>
        <w:br/>
      </w:r>
      <w:hyperlink r:id="rId15">
        <w:r>
          <w:rPr>
            <w:rFonts w:ascii="Times New Roman" w:hAnsi="Times New Roman" w:eastAsia="Times New Roman" w:cs="Times New Roman"/>
            <w:color w:val="000000"/>
            <w:sz w:val="20"/>
          </w:rPr>
          <w:t>https://thi.tuyensinh247.com/dap-an-de-thi-vao-lop-10-mon-toan-ha-noi-2021-c29a63455.html</w:t>
        </w:r>
      </w:hyperlink>
    </w:p>
    <w:p>
      <w:pPr>
        <w:jc w:val="left"/>
      </w:pPr>
      <w:r>
        <w:t>TOANMATH tuyển tập đề Hà Nội từ 1998 đến 2020</w:t>
        <w:br/>
      </w:r>
      <w:hyperlink r:id="rId16">
        <w:r>
          <w:rPr>
            <w:rFonts w:ascii="Times New Roman" w:hAnsi="Times New Roman" w:eastAsia="Times New Roman" w:cs="Times New Roman"/>
            <w:color w:val="000000"/>
            <w:sz w:val="20"/>
          </w:rPr>
          <w:t>https://thcs.toanmath.com/2020/06/tuyen-tap-de-tuyen-sinh-lop-10-mon-toan-so-gddt-ha-noi-tu-1998-den-2020.html</w:t>
        </w:r>
      </w:hyperlink>
    </w:p>
    <w:p>
      <w:pPr>
        <w:jc w:val="left"/>
      </w:pPr>
      <w:r>
        <w:t>PDF tuyển tập dùng cho các năm 2007 đến 2020</w:t>
        <w:br/>
      </w:r>
      <w:hyperlink r:id="rId17">
        <w:r>
          <w:rPr>
            <w:rFonts w:ascii="Times New Roman" w:hAnsi="Times New Roman" w:eastAsia="Times New Roman" w:cs="Times New Roman"/>
            <w:color w:val="000000"/>
            <w:sz w:val="20"/>
          </w:rPr>
          <w:t>https://thcs.toanmath.com/thcs-pdf/tuyen-tap-de-tuyen-sinh-lop-10-mon-toan-so-gddt-ha-noi-tu-1998-den-2020.pdf</w:t>
        </w:r>
      </w:hyperlink>
    </w:p>
    <w:p>
      <w:pPr>
        <w:jc w:val="left"/>
      </w:pPr>
      <w:r>
        <w:t>Marker 1.10.1 tài liệu kỹ thuật và giấy phép</w:t>
        <w:br/>
      </w:r>
      <w:hyperlink r:id="rId18">
        <w:r>
          <w:rPr>
            <w:rFonts w:ascii="Times New Roman" w:hAnsi="Times New Roman" w:eastAsia="Times New Roman" w:cs="Times New Roman"/>
            <w:color w:val="000000"/>
            <w:sz w:val="20"/>
          </w:rPr>
          <w:t>https://github.com/datalab-to/marker/blob/v1.10.1/README.md</w:t>
        </w:r>
      </w:hyperlink>
    </w:p>
    <w:p>
      <w:pPr>
        <w:jc w:val="left"/>
      </w:pPr>
      <w:r>
        <w:t>Pandoc hướng dẫn chuyển đổi tài liệu</w:t>
        <w:br/>
      </w:r>
      <w:hyperlink r:id="rId19">
        <w:r>
          <w:rPr>
            <w:rFonts w:ascii="Times New Roman" w:hAnsi="Times New Roman" w:eastAsia="Times New Roman" w:cs="Times New Roman"/>
            <w:color w:val="000000"/>
            <w:sz w:val="20"/>
          </w:rPr>
          <w:t>https://pandoc.org/MANUAL.html</w:t>
        </w:r>
      </w:hyperlink>
    </w:p>
    <w:p>
      <w:pPr>
        <w:jc w:val="both"/>
      </w:pPr>
      <w:r>
        <w:t>Hồ sơ đối chiếu trong kho Git gồm PDF gốc ở Đề, các tệp đã biên soạn ở LaTeX và mã nguồn cùng tài liệu hướng dẫn, kiểm thử ở pdf_to_tex.</w:t>
      </w:r>
    </w:p>
    <w:sectPr w:rsidR="00FC693F" w:rsidRPr="0006063C" w:rsidSect="00034616">
      <w:footerReference w:type="default" r:id="rId9"/>
      <w:headerReference w:type="default" r:id="rId34"/>
      <w:pgSz w:w="11906" w:h="16838"/>
      <w:pgMar w:top="1134" w:right="113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40" w:line="240" w:lineRule="auto" w:before="200"/>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anoi.edu.vn/phong-quan-ly-thi-va-kdcl/ha-noi-cong-bo-de-thi-va-dap-an-cac-mon-toan-ngu-van-ngoai-ngu-khong-chuyen-ky/ctmb/552/16984" TargetMode="External"/><Relationship Id="rId11" Type="http://schemas.openxmlformats.org/officeDocument/2006/relationships/hyperlink" Target="https://www.hanoi.edu.vn/phong-quan-ly-thi-va-kdcl/ha-noi-cong-bo-de-thi-va-dap-an-cac-mon-toan-ngu-van-ngoai-ngu-khong-chuyen-ky/ctmb/552/16329" TargetMode="External"/><Relationship Id="rId12" Type="http://schemas.openxmlformats.org/officeDocument/2006/relationships/hyperlink" Target="https://www.hanoi.edu.vn/phong-quan-ly-thi-va-kdcl/ha-noi-cong-bo-de-thi-va-dap-an-cac-mon-toan-ngu-van-ngoai-ngu-khong-chuyen-ky/ctmb/552/15448" TargetMode="External"/><Relationship Id="rId13" Type="http://schemas.openxmlformats.org/officeDocument/2006/relationships/hyperlink" Target="https://xaydungchinhsach.chinhphu.vn/de-va-dap-an-cac-mon-thi-tuyen-sinh-lop-10-ha-noi-2023-119230616000748551.htm" TargetMode="External"/><Relationship Id="rId14" Type="http://schemas.openxmlformats.org/officeDocument/2006/relationships/hyperlink" Target="https://www.hanoi.edu.vn/tin-tuc-su-kien/de-thi-chinh-thuc-dap-an-mon-toan-ky-thi-tuyen-sinh-vao-lop-10-thpt-nam-hoc-202/ctmb/525/12862" TargetMode="External"/><Relationship Id="rId15" Type="http://schemas.openxmlformats.org/officeDocument/2006/relationships/hyperlink" Target="https://thi.tuyensinh247.com/dap-an-de-thi-vao-lop-10-mon-toan-ha-noi-2021-c29a63455.html" TargetMode="External"/><Relationship Id="rId16" Type="http://schemas.openxmlformats.org/officeDocument/2006/relationships/hyperlink" Target="https://thcs.toanmath.com/2020/06/tuyen-tap-de-tuyen-sinh-lop-10-mon-toan-so-gddt-ha-noi-tu-1998-den-2020.html" TargetMode="External"/><Relationship Id="rId17" Type="http://schemas.openxmlformats.org/officeDocument/2006/relationships/hyperlink" Target="https://thcs.toanmath.com/thcs-pdf/tuyen-tap-de-tuyen-sinh-lop-10-mon-toan-so-gddt-ha-noi-tu-1998-den-2020.pdf" TargetMode="External"/><Relationship Id="rId18" Type="http://schemas.openxmlformats.org/officeDocument/2006/relationships/hyperlink" Target="https://github.com/datalab-to/marker/blob/v1.10.1/README.md" TargetMode="External"/><Relationship Id="rId19" Type="http://schemas.openxmlformats.org/officeDocument/2006/relationships/hyperlink" Target="https://pandoc.org/MANUAL.html" TargetMode="External"/><Relationship Id="rId20" Type="http://schemas.openxmlformats.org/officeDocument/2006/relationships/hyperlink" Target="https://thcs.toanmath.com/thcs-pdf/tuyen-tap-de-tuyen-sinh-lop-10-mon-toan-so-gddt-ha-noi-tu-1998-den-2020.pdf#page=64" TargetMode="External"/><Relationship Id="rId21" Type="http://schemas.openxmlformats.org/officeDocument/2006/relationships/hyperlink" Target="https://thcs.toanmath.com/thcs-pdf/tuyen-tap-de-tuyen-sinh-lop-10-mon-toan-so-gddt-ha-noi-tu-1998-den-2020.pdf#page=61" TargetMode="External"/><Relationship Id="rId22" Type="http://schemas.openxmlformats.org/officeDocument/2006/relationships/hyperlink" Target="https://thcs.toanmath.com/thcs-pdf/tuyen-tap-de-tuyen-sinh-lop-10-mon-toan-so-gddt-ha-noi-tu-1998-den-2020.pdf#page=56" TargetMode="External"/><Relationship Id="rId23" Type="http://schemas.openxmlformats.org/officeDocument/2006/relationships/hyperlink" Target="https://thcs.toanmath.com/thcs-pdf/tuyen-tap-de-tuyen-sinh-lop-10-mon-toan-so-gddt-ha-noi-tu-1998-den-2020.pdf#page=52" TargetMode="External"/><Relationship Id="rId24" Type="http://schemas.openxmlformats.org/officeDocument/2006/relationships/hyperlink" Target="https://thcs.toanmath.com/thcs-pdf/tuyen-tap-de-tuyen-sinh-lop-10-mon-toan-so-gddt-ha-noi-tu-1998-den-2020.pdf#page=48" TargetMode="External"/><Relationship Id="rId25" Type="http://schemas.openxmlformats.org/officeDocument/2006/relationships/hyperlink" Target="https://thcs.toanmath.com/thcs-pdf/tuyen-tap-de-tuyen-sinh-lop-10-mon-toan-so-gddt-ha-noi-tu-1998-den-2020.pdf#page=45" TargetMode="External"/><Relationship Id="rId26" Type="http://schemas.openxmlformats.org/officeDocument/2006/relationships/hyperlink" Target="https://thcs.toanmath.com/thcs-pdf/tuyen-tap-de-tuyen-sinh-lop-10-mon-toan-so-gddt-ha-noi-tu-1998-den-2020.pdf#page=41" TargetMode="External"/><Relationship Id="rId27" Type="http://schemas.openxmlformats.org/officeDocument/2006/relationships/hyperlink" Target="https://thcs.toanmath.com/thcs-pdf/tuyen-tap-de-tuyen-sinh-lop-10-mon-toan-so-gddt-ha-noi-tu-1998-den-2020.pdf#page=38" TargetMode="External"/><Relationship Id="rId28" Type="http://schemas.openxmlformats.org/officeDocument/2006/relationships/hyperlink" Target="https://thcs.toanmath.com/thcs-pdf/tuyen-tap-de-tuyen-sinh-lop-10-mon-toan-so-gddt-ha-noi-tu-1998-den-2020.pdf#page=35" TargetMode="External"/><Relationship Id="rId29" Type="http://schemas.openxmlformats.org/officeDocument/2006/relationships/hyperlink" Target="https://thcs.toanmath.com/thcs-pdf/tuyen-tap-de-tuyen-sinh-lop-10-mon-toan-so-gddt-ha-noi-tu-1998-den-2020.pdf#page=32" TargetMode="External"/><Relationship Id="rId30" Type="http://schemas.openxmlformats.org/officeDocument/2006/relationships/hyperlink" Target="https://thcs.toanmath.com/thcs-pdf/tuyen-tap-de-tuyen-sinh-lop-10-mon-toan-so-gddt-ha-noi-tu-1998-den-2020.pdf#page=29" TargetMode="External"/><Relationship Id="rId31" Type="http://schemas.openxmlformats.org/officeDocument/2006/relationships/hyperlink" Target="https://thcs.toanmath.com/thcs-pdf/tuyen-tap-de-tuyen-sinh-lop-10-mon-toan-so-gddt-ha-noi-tu-1998-den-2020.pdf#page=24" TargetMode="External"/><Relationship Id="rId32" Type="http://schemas.openxmlformats.org/officeDocument/2006/relationships/hyperlink" Target="https://thcs.toanmath.com/thcs-pdf/tuyen-tap-de-tuyen-sinh-lop-10-mon-toan-so-gddt-ha-noi-tu-1998-den-2020.pdf#page=21" TargetMode="External"/><Relationship Id="rId33" Type="http://schemas.openxmlformats.org/officeDocument/2006/relationships/hyperlink" Target="https://thcs.toanmath.com/thcs-pdf/tuyen-tap-de-tuyen-sinh-lop-10-mon-toan-so-gddt-ha-noi-tu-1998-den-2020.pdf#page=18" TargetMode="External"/><Relationship Id="rId3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thập và xử lý đề Toán vào lớp 10 Hà Nội từ PDF sang LaTeX</dc:title>
  <dc:subject>Nguồn dữ liệu và phương pháp chuyển đổi cùng phạm vi lọc hình học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