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E5C80F">
      <w:pPr>
        <w:pStyle w:val="2"/>
        <w:rPr>
          <w:rFonts w:hint="eastAsia" w:ascii="黑体" w:hAnsi="黑体" w:eastAsia="黑体" w:cs="黑体"/>
          <w:b/>
          <w:bCs/>
        </w:rPr>
      </w:pPr>
      <w:bookmarkStart w:id="0" w:name="实验报告基于深度学习的-isp-网络流量预测模型对比分析"/>
      <w:r>
        <w:rPr>
          <w:rFonts w:hint="eastAsia" w:ascii="黑体" w:hAnsi="黑体" w:eastAsia="黑体" w:cs="黑体"/>
          <w:b/>
          <w:bCs/>
        </w:rPr>
        <w:t>实验报告：基于深度学习的 ISP 网络流量预测模型对比分析</w:t>
      </w:r>
    </w:p>
    <w:p w14:paraId="1504FB13">
      <w:pPr>
        <w:pStyle w:val="3"/>
        <w:jc w:val="center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陈琦 2023212638</w:t>
      </w:r>
    </w:p>
    <w:p w14:paraId="37BB3A78">
      <w:pPr>
        <w:pStyle w:val="4"/>
        <w:rPr>
          <w:rFonts w:hint="default" w:ascii="Times New Roman" w:hAnsi="Times New Roman" w:eastAsia="宋体" w:cs="Times New Roman"/>
        </w:rPr>
      </w:pPr>
      <w:bookmarkStart w:id="1" w:name="摘要"/>
      <w:r>
        <w:rPr>
          <w:rFonts w:hint="default" w:ascii="Times New Roman" w:hAnsi="Times New Roman" w:eastAsia="宋体" w:cs="Times New Roman"/>
        </w:rPr>
        <w:t>1. 摘要</w:t>
      </w:r>
    </w:p>
    <w:p w14:paraId="03305682">
      <w:pPr>
        <w:pStyle w:val="2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本实验对论文”Comparative Analysis of Deep Learning Models for Real-World ISP Network Traffic Forecasting”的核心实验进行复现与拓展。在 CESNET-TimeSeries24 数据集的 283 条机构级流量序列上，以 n_bytes 为预测目标，对比了 Mean、SARIMA、LSTM、GRU 四种模型在多种滑动窗口配置下的预测性能。实验采用 35:5:60 的时间顺序分割和 Z-score 标准化，并对 SARIMA 引入了滚动预测策略。结果表明：GRU 和 LSTM 的 R² 中位数分别达到 0.145 和 0.116，显著优于 Mean 基线（-0.004）；SARIMA 在滚动预测下 R² 中位数达 0.183，挑战了”统计模型远不如 DL 模型”的原论文结论。实验还发现，真实网络流量数据中存在的季节性分布漂移问题会严重干扰 R² 均值的可靠性，建议以中位数作为主要参考指标。</w:t>
      </w:r>
      <w:bookmarkStart w:id="28" w:name="_GoBack"/>
      <w:bookmarkEnd w:id="28"/>
    </w:p>
    <w:bookmarkEnd w:id="1"/>
    <w:p w14:paraId="0F7CAF9E">
      <w:pPr>
        <w:pStyle w:val="4"/>
        <w:rPr>
          <w:rFonts w:hint="default" w:ascii="Times New Roman" w:hAnsi="Times New Roman" w:eastAsia="宋体" w:cs="Times New Roman"/>
        </w:rPr>
      </w:pPr>
      <w:bookmarkStart w:id="2" w:name="引言"/>
      <w:r>
        <w:rPr>
          <w:rFonts w:hint="default" w:ascii="Times New Roman" w:hAnsi="Times New Roman" w:eastAsia="宋体" w:cs="Times New Roman"/>
        </w:rPr>
        <w:t>2. 引言</w:t>
      </w:r>
    </w:p>
    <w:p w14:paraId="2A7214A9">
      <w:pPr>
        <w:pStyle w:val="2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ISP 网络流量预测是网络资源管理、拥塞控制和容量规划的基础技术。准确的流量预测可以帮助运营商优化网络资源配置、降低运营成本、提升用户体验。近年来，LSTM、GRU 等循环神经网络在时序预测领域取得显著成功，但在真实大规模 ISP 数据上的系统性对比研究仍较为有限。</w:t>
      </w:r>
    </w:p>
    <w:p w14:paraId="70FBEAD8">
      <w:pPr>
        <w:pStyle w:val="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论文”Comparative Analysis of Deep Learning Models for Real-World ISP Network Traffic Forecasting”（Koumar 等，2025）在 CESNET-TimeSeries24 数据集（40 周真实 ISP 流量，含 283 条机构级序列）上对 10 种模型进行了系统对比。该论文的核心贡献在于提供了一个标准化的基准测试框架，但其主要局限在于：对 SARIMA 等统计模型仅做一次全局拟合、固定参数预测，未采用滚动更新策略，可能导致不公平的对比结论。</w:t>
      </w:r>
    </w:p>
    <w:p w14:paraId="5BC9FE88">
      <w:pPr>
        <w:pStyle w:val="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本实验在复现核心实验的基础上，做了以下拓展：（1）对 SARIMA 引入滚动预测策略，使其与 DL 模型在相同条件下对比；（2）系统分析了时间分割比例和标准化方式对评估结果的影响；（3）揭示了数据分布漂移对 R² 指标的干扰，比较了三种处理方案。</w:t>
      </w:r>
    </w:p>
    <w:bookmarkEnd w:id="2"/>
    <w:p w14:paraId="4DFE7ADC">
      <w:pPr>
        <w:pStyle w:val="4"/>
        <w:rPr>
          <w:rFonts w:hint="default" w:ascii="Times New Roman" w:hAnsi="Times New Roman" w:eastAsia="宋体" w:cs="Times New Roman"/>
        </w:rPr>
      </w:pPr>
      <w:bookmarkStart w:id="3" w:name="数据与预处理方法"/>
      <w:r>
        <w:rPr>
          <w:rFonts w:hint="default" w:ascii="Times New Roman" w:hAnsi="Times New Roman" w:eastAsia="宋体" w:cs="Times New Roman"/>
        </w:rPr>
        <w:t>3. 数据与预处理方法</w:t>
      </w:r>
    </w:p>
    <w:p w14:paraId="3B3163CA">
      <w:pPr>
        <w:pStyle w:val="5"/>
        <w:rPr>
          <w:rFonts w:hint="default" w:ascii="Times New Roman" w:hAnsi="Times New Roman" w:eastAsia="宋体" w:cs="Times New Roman"/>
        </w:rPr>
      </w:pPr>
      <w:bookmarkStart w:id="4" w:name="数据集"/>
      <w:r>
        <w:rPr>
          <w:rFonts w:hint="default" w:ascii="Times New Roman" w:hAnsi="Times New Roman" w:eastAsia="宋体" w:cs="Times New Roman"/>
        </w:rPr>
        <w:t>3.1 数据集</w:t>
      </w:r>
    </w:p>
    <w:p w14:paraId="61427799">
      <w:pPr>
        <w:pStyle w:val="2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实验采用 CESNET-TimeSeries24 数据集的机构级（institutions）数据。该数据集采集自捷克 CESNET 科研教育网络，时间跨度为 2023 年 10 月至 2024 年 7 月（40 周），聚合粒度为 1 小时。选择机构级而非子网级或 IP 地址级，是因为机构级缺失率仅约 1%，远低于 IP 地址级的 80%+，且周期模式清晰——EDA 阶段的 ACF 分析表明数据存在显著的日周期（24h）和周周期（168h）。</w:t>
      </w:r>
    </w:p>
    <w:p w14:paraId="738EE828">
      <w:pPr>
        <w:pStyle w:val="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数据预处理的核心挑战在于：（1）原始 CSV 只记录有数据的行，缺失时间点整行不存在，需通过 right merge 对齐时间轴来识别（图 6）；（2）部分机构受季节性影响（如大学暑假），测试期流量较训练期骤降 10</w:t>
      </w:r>
      <w:r>
        <w:rPr>
          <w:rFonts w:hint="default" w:ascii="Times New Roman" w:hAnsi="Times New Roman" w:eastAsia="宋体" w:cs="Times New Roman"/>
          <w:vertAlign w:val="superscript"/>
        </w:rPr>
        <w:t>4~10</w:t>
      </w:r>
      <w:r>
        <w:rPr>
          <w:rFonts w:hint="default" w:ascii="Times New Roman" w:hAnsi="Times New Roman" w:eastAsia="宋体" w:cs="Times New Roman"/>
        </w:rPr>
        <w:t>5倍，导致分布漂移。</w:t>
      </w:r>
    </w:p>
    <w:p w14:paraId="501F42B1">
      <w:pPr>
        <w:pStyle w:val="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drawing>
          <wp:inline distT="0" distB="0" distL="114300" distR="114300">
            <wp:extent cx="5334000" cy="1459865"/>
            <wp:effectExtent l="0" t="0" r="0" b="0"/>
            <wp:docPr id="12" name="Picture" descr="缺失率分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" descr="缺失率分布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4601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i/>
          <w:iCs/>
        </w:rPr>
        <w:t>图 1：各级别缺失率分布——机构级集中于 0%，远低于 IP 级</w:t>
      </w:r>
    </w:p>
    <w:p w14:paraId="177DDE5E">
      <w:pPr>
        <w:pStyle w:val="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drawing>
          <wp:inline distT="0" distB="0" distL="114300" distR="114300">
            <wp:extent cx="5334000" cy="2651125"/>
            <wp:effectExtent l="0" t="0" r="0" b="0"/>
            <wp:docPr id="15" name="Picture" descr="AC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" descr="ACF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651338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i/>
          <w:iCs/>
        </w:rPr>
        <w:t>图 2：自相关函数——lag=24 和 lag=168 处峰值确认日周期和周周期</w:t>
      </w:r>
    </w:p>
    <w:bookmarkEnd w:id="4"/>
    <w:p w14:paraId="77BC8F0C">
      <w:pPr>
        <w:pStyle w:val="5"/>
        <w:rPr>
          <w:rFonts w:hint="default" w:ascii="Times New Roman" w:hAnsi="Times New Roman" w:eastAsia="宋体" w:cs="Times New Roman"/>
        </w:rPr>
      </w:pPr>
      <w:bookmarkStart w:id="5" w:name="预处理流程"/>
      <w:r>
        <w:rPr>
          <w:rFonts w:hint="default" w:ascii="Times New Roman" w:hAnsi="Times New Roman" w:eastAsia="宋体" w:cs="Times New Roman"/>
        </w:rPr>
        <w:t>3.2 预处理流程</w:t>
      </w:r>
    </w:p>
    <w:p w14:paraId="5D863428">
      <w:pPr>
        <w:pStyle w:val="2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预处理流程包含五个步骤。</w:t>
      </w:r>
    </w:p>
    <w:p w14:paraId="08ACA3B4">
      <w:pPr>
        <w:pStyle w:val="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</w:rPr>
        <w:t>时间轴对齐</w:t>
      </w:r>
      <w:r>
        <w:rPr>
          <w:rFonts w:hint="default" w:ascii="Times New Roman" w:hAnsi="Times New Roman" w:eastAsia="宋体" w:cs="Times New Roman"/>
        </w:rPr>
        <w:t xml:space="preserve">：各时间序列与完整时间戳表 </w:t>
      </w:r>
      <w:r>
        <w:rPr>
          <w:rStyle w:val="48"/>
          <w:rFonts w:hint="default" w:ascii="Times New Roman" w:hAnsi="Times New Roman" w:eastAsia="宋体" w:cs="Times New Roman"/>
        </w:rPr>
        <w:t>times.csv</w:t>
      </w:r>
      <w:r>
        <w:rPr>
          <w:rFonts w:hint="default" w:ascii="Times New Roman" w:hAnsi="Times New Roman" w:eastAsia="宋体" w:cs="Times New Roman"/>
        </w:rPr>
        <w:t xml:space="preserve"> 做 right merge，缺失的时间点以 NaN 标记。这一步骤将原始 CSV 中不存在的行补全为 NaN，为后续的缺失值处理奠定基础（图 6）。</w:t>
      </w:r>
    </w:p>
    <w:p w14:paraId="08902752">
      <w:pPr>
        <w:pStyle w:val="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drawing>
          <wp:inline distT="0" distB="0" distL="114300" distR="114300">
            <wp:extent cx="5334000" cy="2366010"/>
            <wp:effectExtent l="0" t="0" r="0" b="0"/>
            <wp:docPr id="19" name="Picture" descr="对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" descr="对齐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36657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i/>
          <w:iCs/>
        </w:rPr>
        <w:t>图 3：时间轴对齐与缺失值填充流程</w:t>
      </w:r>
    </w:p>
    <w:p w14:paraId="1FC3EFEB">
      <w:pPr>
        <w:pStyle w:val="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</w:rPr>
        <w:t>缺失值填充</w:t>
      </w:r>
      <w:r>
        <w:rPr>
          <w:rFonts w:hint="default" w:ascii="Times New Roman" w:hAnsi="Times New Roman" w:eastAsia="宋体" w:cs="Times New Roman"/>
        </w:rPr>
        <w:t>：机构级数据缺失率仅约 1%，采用零填充。对于缺失率较高的 IP 级数据，可考虑均值填充或线性插值（图 7）。</w:t>
      </w:r>
    </w:p>
    <w:p w14:paraId="2F8EAD4F">
      <w:pPr>
        <w:pStyle w:val="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</w:rPr>
        <w:t>滑动窗口生成</w:t>
      </w:r>
      <w:r>
        <w:rPr>
          <w:rFonts w:hint="default" w:ascii="Times New Roman" w:hAnsi="Times New Roman" w:eastAsia="宋体" w:cs="Times New Roman"/>
        </w:rPr>
        <w:t>：论文 Table II 定义了 5 种窗口配置。本实验选取其中 4 种：(24,24)、(168,24)、(168,168)、(744,168)。窗口按 stride = prediction_window 不重叠滑动（图 4），将连续序列切分为 (X, y) 样本对。</w:t>
      </w:r>
    </w:p>
    <w:p w14:paraId="05D92BBF">
      <w:pPr>
        <w:pStyle w:val="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drawing>
          <wp:inline distT="0" distB="0" distL="114300" distR="114300">
            <wp:extent cx="5334000" cy="2452370"/>
            <wp:effectExtent l="0" t="0" r="0" b="0"/>
            <wp:docPr id="22" name="Picture" descr="滑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descr="滑窗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t="7674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4523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i/>
          <w:iCs/>
        </w:rPr>
        <w:t>图 4：滑动窗口机制</w:t>
      </w:r>
    </w:p>
    <w:p w14:paraId="721C898C">
      <w:pPr>
        <w:pStyle w:val="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</w:rPr>
        <w:t>时间顺序分割</w:t>
      </w:r>
      <w:r>
        <w:rPr>
          <w:rFonts w:hint="default" w:ascii="Times New Roman" w:hAnsi="Times New Roman" w:eastAsia="宋体" w:cs="Times New Roman"/>
        </w:rPr>
        <w:t>：与分类任务不同，时序预测必须按时间顺序分割，严禁随机打乱以防止未来信息泄露。论文开源代码采用 test_set_size=0.6、valid_set_size=0.05 的划分（即 35:5:60）。本实验初期尝试了 70:15:15 分割，但发现该方案导致测试期集中在 6-7 月暑假，加剧了分布漂移问题——部分机构测试期流量均值骤降至训练期的万分之一以下。切换至 35:5:60 后，LSTM 的 R² 中位数从 0.031 提升至 0.098，极端异常序列从 5 条降至 2 条。</w:t>
      </w:r>
    </w:p>
    <w:p w14:paraId="01B6F752">
      <w:pPr>
        <w:pStyle w:val="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drawing>
          <wp:inline distT="0" distB="0" distL="114300" distR="114300">
            <wp:extent cx="5334000" cy="2165985"/>
            <wp:effectExtent l="0" t="0" r="0" b="0"/>
            <wp:docPr id="25" name="Picture" descr="分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" descr="分割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t="10142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1659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i/>
          <w:iCs/>
        </w:rPr>
        <w:t>图 5：时间分割策略对比——35:5:60 的测试覆盖更广</w:t>
      </w:r>
    </w:p>
    <w:p w14:paraId="40D92A88">
      <w:pPr>
        <w:pStyle w:val="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</w:rPr>
        <w:t>标准化</w:t>
      </w:r>
      <w:r>
        <w:rPr>
          <w:rFonts w:hint="default" w:ascii="Times New Roman" w:hAnsi="Times New Roman" w:eastAsia="宋体" w:cs="Times New Roman"/>
        </w:rPr>
        <w:t>：论文使用 MinMaxScaler 将数据缩放到 [0,1]。本实验选择 Z-score 标准化：</w:t>
      </w:r>
    </w:p>
    <w:p w14:paraId="15A67632">
      <w:pPr>
        <w:pStyle w:val="3"/>
        <w:rPr>
          <w:rFonts w:hint="default" w:ascii="Times New Roman" w:hAnsi="Times New Roman" w:eastAsia="宋体" w:cs="Times New Roman"/>
        </w:rPr>
      </w:pPr>
      <m:oMathPara>
        <m:oMathParaPr>
          <m:jc m:val="center"/>
        </m:oMathParaPr>
        <m:oMath>
          <m:r>
            <m:rPr>
              <m:nor/>
            </m:rPr>
            <w:rPr>
              <w:rFonts w:hint="default" w:ascii="Times New Roman" w:hAnsi="Times New Roman" w:eastAsia="宋体" w:cs="Times New Roman"/>
              <w:i/>
            </w:rPr>
            <m:t>z</m:t>
          </m:r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b w:val="0"/>
              <w:i w:val="0"/>
            </w:rPr>
            <m:t>=</m:t>
          </m:r>
          <m:f>
            <m:fPr>
              <m:ctrlPr>
                <w:rPr>
                  <w:rFonts w:hint="default" w:ascii="Cambria Math" w:hAnsi="Cambria Math" w:eastAsia="宋体" w:cs="Times New Roman"/>
                </w:rPr>
              </m:ctrlPr>
            </m:fPr>
            <m:num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</w:rPr>
                <m:t>x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b w:val="0"/>
                  <w:i w:val="0"/>
                </w:rPr>
                <m:t>−</m:t>
              </m:r>
              <m:sSub>
                <m:sSubPr>
                  <m:ctrlPr>
                    <w:rPr>
                      <w:rFonts w:hint="default" w:ascii="Cambria Math" w:hAnsi="Cambria Math" w:eastAsia="宋体" w:cs="Times New Roman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</w:rPr>
                    <m:t>μ</m:t>
                  </m:r>
                  <m:ctrlPr>
                    <w:rPr>
                      <w:rFonts w:hint="default" w:ascii="Cambria Math" w:hAnsi="Cambria Math" w:eastAsia="宋体" w:cs="Times New Roman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</w:rPr>
                    <m:t>train</m:t>
                  </m:r>
                  <m:ctrlPr>
                    <w:rPr>
                      <w:rFonts w:hint="default" w:ascii="Cambria Math" w:hAnsi="Cambria Math" w:eastAsia="宋体" w:cs="Times New Roman"/>
                    </w:rPr>
                  </m:ctrlPr>
                </m:sub>
              </m:sSub>
              <m:ctrlPr>
                <w:rPr>
                  <w:rFonts w:hint="default" w:ascii="Cambria Math" w:hAnsi="Cambria Math" w:eastAsia="宋体" w:cs="Times New Roman"/>
                </w:rPr>
              </m:ctrlPr>
            </m:num>
            <m:den>
              <m:sSub>
                <m:sSubPr>
                  <m:ctrlPr>
                    <w:rPr>
                      <w:rFonts w:hint="default" w:ascii="Cambria Math" w:hAnsi="Cambria Math" w:eastAsia="宋体" w:cs="Times New Roman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</w:rPr>
                    <m:t>σ</m:t>
                  </m:r>
                  <m:ctrlPr>
                    <w:rPr>
                      <w:rFonts w:hint="default" w:ascii="Cambria Math" w:hAnsi="Cambria Math" w:eastAsia="宋体" w:cs="Times New Roman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</w:rPr>
                    <m:t>train</m:t>
                  </m:r>
                  <m:ctrlPr>
                    <w:rPr>
                      <w:rFonts w:hint="default" w:ascii="Cambria Math" w:hAnsi="Cambria Math" w:eastAsia="宋体" w:cs="Times New Roman"/>
                    </w:rPr>
                  </m:ctrlPr>
                </m:sub>
              </m:sSub>
              <m:ctrlPr>
                <w:rPr>
                  <w:rFonts w:hint="default" w:ascii="Cambria Math" w:hAnsi="Cambria Math" w:eastAsia="宋体" w:cs="Times New Roman"/>
                </w:rPr>
              </m:ctrlPr>
            </m:den>
          </m:f>
        </m:oMath>
      </m:oMathPara>
    </w:p>
    <w:p w14:paraId="6A4B837F">
      <w:pPr>
        <w:pStyle w:val="2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选择 Z-score 而非 MinMax 的理由：网络流量呈长尾分布（少数时间流量极高，大部分流量在常规区间），MinMax 会被极端最大值压扁正常区间的差异。Z-score 以标准差为单位，对异常值更鲁棒。两种标准化方式下的模型排名趋势一致。</w:t>
      </w:r>
    </w:p>
    <w:bookmarkEnd w:id="5"/>
    <w:p w14:paraId="5EB497B9">
      <w:pPr>
        <w:pStyle w:val="5"/>
        <w:rPr>
          <w:rFonts w:hint="default" w:ascii="Times New Roman" w:hAnsi="Times New Roman" w:eastAsia="宋体" w:cs="Times New Roman"/>
        </w:rPr>
      </w:pPr>
      <w:bookmarkStart w:id="6" w:name="模型"/>
      <w:r>
        <w:rPr>
          <w:rFonts w:hint="default" w:ascii="Times New Roman" w:hAnsi="Times New Roman" w:eastAsia="宋体" w:cs="Times New Roman"/>
        </w:rPr>
        <w:t>3.3 模型</w:t>
      </w:r>
    </w:p>
    <w:p w14:paraId="654A6F6D">
      <w:pPr>
        <w:pStyle w:val="2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论文对比了 10 种模型，本实验选取其中最具代表性的 4 种：</w:t>
      </w:r>
    </w:p>
    <w:p w14:paraId="78EDE34E">
      <w:pPr>
        <w:pStyle w:val="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</w:rPr>
        <w:t>Mean 基线</w:t>
      </w:r>
      <w:r>
        <w:rPr>
          <w:rFonts w:hint="default" w:ascii="Times New Roman" w:hAnsi="Times New Roman" w:eastAsia="宋体" w:cs="Times New Roman"/>
        </w:rPr>
        <w:t>：取输入窗口的均值作为预测值。这是最简单的基线，作为性能下限参考。它的核心假设是”未来等于过去的平均”，显然无法捕捉任何动态模式。</w:t>
      </w:r>
    </w:p>
    <w:p w14:paraId="1EE3ADB4">
      <w:pPr>
        <w:pStyle w:val="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</w:rPr>
        <w:t>SARIMA</w:t>
      </w:r>
      <w:r>
        <w:rPr>
          <w:rFonts w:hint="default" w:ascii="Times New Roman" w:hAnsi="Times New Roman" w:eastAsia="宋体" w:cs="Times New Roman"/>
        </w:rPr>
        <w:t>：Seasonal ARIMA，在 ARIMA 的自回归（AR）和滑动平均（MA）基础上加入季节性分量（S）。其参数 (p,d,q)(P,D,Q,s) 分别控制非季节/季节的自回归阶数、差分次数、滑动平均阶数，s 为周期长度（本实验中 s=24，小时级日周期）。与论文的静态评估不同，本实验对 SARIMA 采用滚动预测策略：每到达一个测试窗口，用截至当前的全部历史数据重新拟合，再进行预测。这使得 SARIMA 获得了与 DL 模型相同的”逐窗口独立预测”能力。</w:t>
      </w:r>
    </w:p>
    <w:p w14:paraId="3CAF015A">
      <w:pPr>
        <w:pStyle w:val="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</w:rPr>
        <w:t>LSTM</w:t>
      </w:r>
      <w:r>
        <w:rPr>
          <w:rFonts w:hint="default" w:ascii="Times New Roman" w:hAnsi="Times New Roman" w:eastAsia="宋体" w:cs="Times New Roman"/>
        </w:rPr>
        <w:t>：通过遗忘门、输入门、输出门三个门控机制控制信息流，解决传统 RNN 的梯度消失问题。本实验采用双向单层 LSTM（hidden_size=100），双向结构允许模型同时利用时间步前后的上下文信息。</w:t>
      </w:r>
    </w:p>
    <w:p w14:paraId="3B30EE74">
      <w:pPr>
        <w:pStyle w:val="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</w:rPr>
        <w:t>GRU</w:t>
      </w:r>
      <w:r>
        <w:rPr>
          <w:rFonts w:hint="default" w:ascii="Times New Roman" w:hAnsi="Times New Roman" w:eastAsia="宋体" w:cs="Times New Roman"/>
        </w:rPr>
        <w:t>：将 LSTM 的遗忘门和输入门合并为更新门，参数量减少约 1/3，计算效率更高。结构与超参数与 LSTM 一致。论文指出 GRU 在该数据集上以更少的参数实现了与 LSTM 相当甚至略优的性能。</w:t>
      </w:r>
    </w:p>
    <w:bookmarkEnd w:id="3"/>
    <w:bookmarkEnd w:id="6"/>
    <w:p w14:paraId="6EB819FE">
      <w:pPr>
        <w:pStyle w:val="4"/>
        <w:rPr>
          <w:rFonts w:hint="default" w:ascii="Times New Roman" w:hAnsi="Times New Roman" w:eastAsia="宋体" w:cs="Times New Roman"/>
        </w:rPr>
      </w:pPr>
      <w:bookmarkStart w:id="7" w:name="实验设置"/>
      <w:r>
        <w:rPr>
          <w:rFonts w:hint="default" w:ascii="Times New Roman" w:hAnsi="Times New Roman" w:eastAsia="宋体" w:cs="Times New Roman"/>
        </w:rPr>
        <w:t>4. 实验设置</w:t>
      </w:r>
    </w:p>
    <w:p w14:paraId="52C65EE4">
      <w:pPr>
        <w:pStyle w:val="5"/>
        <w:rPr>
          <w:rFonts w:hint="default" w:ascii="Times New Roman" w:hAnsi="Times New Roman" w:eastAsia="宋体" w:cs="Times New Roman"/>
        </w:rPr>
      </w:pPr>
      <w:bookmarkStart w:id="8" w:name="超参数配置"/>
      <w:r>
        <w:rPr>
          <w:rFonts w:hint="default" w:ascii="Times New Roman" w:hAnsi="Times New Roman" w:eastAsia="宋体" w:cs="Times New Roman"/>
        </w:rPr>
        <w:t>4.1 超参数配置</w:t>
      </w:r>
    </w:p>
    <w:p w14:paraId="7BC8D84D">
      <w:pPr>
        <w:pStyle w:val="2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所有超参数来源于论文开源代码 constants.py，未做额外搜索。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3"/>
        <w:gridCol w:w="2851"/>
        <w:gridCol w:w="723"/>
        <w:gridCol w:w="1156"/>
      </w:tblGrid>
      <w:tr w14:paraId="02C2B8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</w:tcPr>
          <w:p w14:paraId="79E00266">
            <w:pPr>
              <w:pStyle w:val="24"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参数</w:t>
            </w:r>
          </w:p>
        </w:tc>
        <w:tc>
          <w:tcPr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3982934E">
            <w:pPr>
              <w:pStyle w:val="24"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LSTM</w:t>
            </w:r>
          </w:p>
        </w:tc>
        <w:tc>
          <w:tcPr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19110970">
            <w:pPr>
              <w:pStyle w:val="24"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GRU</w:t>
            </w:r>
          </w:p>
        </w:tc>
        <w:tc>
          <w:tcPr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75CF3426">
            <w:pPr>
              <w:pStyle w:val="24"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SARIMA</w:t>
            </w:r>
          </w:p>
        </w:tc>
      </w:tr>
      <w:tr w14:paraId="4B10C2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282CA9DF">
            <w:pPr>
              <w:pStyle w:val="24"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hidden_size</w:t>
            </w:r>
          </w:p>
        </w:tc>
        <w:tc>
          <w:tcPr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6CC29011">
            <w:pPr>
              <w:pStyle w:val="24"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100</w:t>
            </w:r>
          </w:p>
        </w:tc>
        <w:tc>
          <w:tcPr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0E4F6A4F">
            <w:pPr>
              <w:pStyle w:val="24"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100</w:t>
            </w:r>
          </w:p>
        </w:tc>
        <w:tc>
          <w:tcPr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475EA97E">
            <w:pPr>
              <w:pStyle w:val="24"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—</w:t>
            </w:r>
          </w:p>
        </w:tc>
      </w:tr>
      <w:tr w14:paraId="0D18D6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C73D238">
            <w:pPr>
              <w:pStyle w:val="24"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bidirectional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F7DF1D">
            <w:pPr>
              <w:pStyle w:val="24"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True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C4C68A">
            <w:pPr>
              <w:pStyle w:val="24"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True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C646DC1">
            <w:pPr>
              <w:pStyle w:val="24"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—</w:t>
            </w:r>
          </w:p>
        </w:tc>
      </w:tr>
      <w:tr w14:paraId="60036A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0FD3461">
            <w:pPr>
              <w:pStyle w:val="24"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learning_rate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7057951">
            <w:pPr>
              <w:pStyle w:val="24"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0.01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4021292">
            <w:pPr>
              <w:pStyle w:val="24"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0.01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33E3346">
            <w:pPr>
              <w:pStyle w:val="24"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—</w:t>
            </w:r>
          </w:p>
        </w:tc>
      </w:tr>
      <w:tr w14:paraId="7E268B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909553C">
            <w:pPr>
              <w:pStyle w:val="24"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epochs / maxiter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BB6DB49">
            <w:pPr>
              <w:pStyle w:val="24"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100 (early stop patience=5)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893E51">
            <w:pPr>
              <w:pStyle w:val="24"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同左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184B4F">
            <w:pPr>
              <w:pStyle w:val="24"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200</w:t>
            </w:r>
          </w:p>
        </w:tc>
      </w:tr>
      <w:tr w14:paraId="4FDD43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9320747">
            <w:pPr>
              <w:pStyle w:val="24"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batch_size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81DDCD">
            <w:pPr>
              <w:pStyle w:val="24"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16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0C7194">
            <w:pPr>
              <w:pStyle w:val="24"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16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EBBDF88">
            <w:pPr>
              <w:pStyle w:val="24"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—</w:t>
            </w:r>
          </w:p>
        </w:tc>
      </w:tr>
      <w:tr w14:paraId="539960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474110E">
            <w:pPr>
              <w:pStyle w:val="24"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(p,d,q)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861580">
            <w:pPr>
              <w:pStyle w:val="24"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—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3EA33A">
            <w:pPr>
              <w:pStyle w:val="24"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—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9C759DD">
            <w:pPr>
              <w:pStyle w:val="24"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(1,0,1)</w:t>
            </w:r>
          </w:p>
        </w:tc>
      </w:tr>
      <w:tr w14:paraId="382B0D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1AE8FE80">
            <w:pPr>
              <w:pStyle w:val="24"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(P,D,Q,s)</w:t>
            </w:r>
          </w:p>
        </w:tc>
        <w:tc>
          <w:tcPr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77DC6AC8">
            <w:pPr>
              <w:pStyle w:val="24"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—</w:t>
            </w:r>
          </w:p>
        </w:tc>
        <w:tc>
          <w:tcPr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1F6C44C8">
            <w:pPr>
              <w:pStyle w:val="24"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—</w:t>
            </w:r>
          </w:p>
        </w:tc>
        <w:tc>
          <w:tcPr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6CCE5892">
            <w:pPr>
              <w:pStyle w:val="24"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(1,0,1,24)</w:t>
            </w:r>
          </w:p>
        </w:tc>
      </w:tr>
      <w:bookmarkEnd w:id="8"/>
    </w:tbl>
    <w:p w14:paraId="76D6FF4F">
      <w:pPr>
        <w:pStyle w:val="5"/>
        <w:rPr>
          <w:rFonts w:hint="default" w:ascii="Times New Roman" w:hAnsi="Times New Roman" w:eastAsia="宋体" w:cs="Times New Roman"/>
        </w:rPr>
      </w:pPr>
      <w:bookmarkStart w:id="9" w:name="评估指标"/>
      <w:r>
        <w:rPr>
          <w:rFonts w:hint="default" w:ascii="Times New Roman" w:hAnsi="Times New Roman" w:eastAsia="宋体" w:cs="Times New Roman"/>
        </w:rPr>
        <w:t>4.2 评估指标</w:t>
      </w:r>
    </w:p>
    <w:p w14:paraId="166A8989">
      <w:pPr>
        <w:pStyle w:val="2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采用论文使用的三个指标。所有指标均在反标准化后的原始尺度上计算。</w:t>
      </w:r>
    </w:p>
    <w:p w14:paraId="0D38CB80">
      <w:pPr>
        <w:pStyle w:val="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</w:rPr>
        <w:t>RMSE（均方根误差）</w:t>
      </w:r>
      <w:r>
        <w:rPr>
          <w:rFonts w:hint="default" w:ascii="Times New Roman" w:hAnsi="Times New Roman" w:eastAsia="宋体" w:cs="Times New Roman"/>
        </w:rPr>
        <w:t>：</w:t>
      </w:r>
    </w:p>
    <w:p w14:paraId="5201EF6F">
      <w:pPr>
        <w:pStyle w:val="3"/>
        <w:rPr>
          <w:rFonts w:hint="default" w:ascii="Times New Roman" w:hAnsi="Times New Roman" w:eastAsia="宋体" w:cs="Times New Roman"/>
        </w:rPr>
      </w:pPr>
      <m:oMathPara>
        <m:oMathParaPr>
          <m:jc m:val="center"/>
        </m:oMathParaPr>
        <m:oMath>
          <m:r>
            <m:rPr>
              <m:nor/>
            </m:rPr>
            <w:rPr>
              <w:rFonts w:hint="default" w:ascii="Times New Roman" w:hAnsi="Times New Roman" w:eastAsia="宋体" w:cs="Times New Roman"/>
              <w:i/>
            </w:rPr>
            <m:t>RMSE</m:t>
          </m:r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b w:val="0"/>
              <w:i w:val="0"/>
            </w:rPr>
            <m:t>=</m:t>
          </m:r>
          <m:rad>
            <m:radPr>
              <m:degHide m:val="1"/>
              <m:ctrlPr>
                <w:rPr>
                  <w:rFonts w:hint="default" w:ascii="Cambria Math" w:hAnsi="Cambria Math" w:eastAsia="宋体" w:cs="Times New Roman"/>
                </w:rPr>
              </m:ctrlPr>
            </m:radPr>
            <m:deg>
              <m:ctrlPr>
                <w:rPr>
                  <w:rFonts w:hint="default" w:ascii="Cambria Math" w:hAnsi="Cambria Math" w:eastAsia="宋体" w:cs="Times New Roman"/>
                </w:rPr>
              </m:ctrlPr>
            </m:deg>
            <m:e>
              <m:f>
                <m:fPr>
                  <m:ctrlPr>
                    <w:rPr>
                      <w:rFonts w:hint="default" w:ascii="Cambria Math" w:hAnsi="Cambria Math" w:eastAsia="宋体" w:cs="Times New Roman"/>
                    </w:rPr>
                  </m:ctrlPr>
                </m:fPr>
                <m:num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宋体" w:cs="Times New Roman"/>
                      <w:b w:val="0"/>
                      <w:i w:val="0"/>
                    </w:rPr>
                    <m:t>1</m:t>
                  </m:r>
                  <m:ctrlPr>
                    <w:rPr>
                      <w:rFonts w:hint="default" w:ascii="Cambria Math" w:hAnsi="Cambria Math" w:eastAsia="宋体" w:cs="Times New Roman"/>
                    </w:rPr>
                  </m:ctrlPr>
                </m:num>
                <m:den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</w:rPr>
                    <m:t>N</m:t>
                  </m:r>
                  <m:ctrlPr>
                    <w:rPr>
                      <w:rFonts w:hint="default" w:ascii="Cambria Math" w:hAnsi="Cambria Math" w:eastAsia="宋体" w:cs="Times New Roman"/>
                    </w:rPr>
                  </m:ctrlPr>
                </m:den>
              </m:f>
              <m:nary>
                <m:naryPr>
                  <m:chr m:val="∑"/>
                  <m:limLoc m:val="undOvr"/>
                  <m:ctrlPr>
                    <w:rPr>
                      <w:rFonts w:hint="default" w:ascii="Cambria Math" w:hAnsi="Cambria Math" w:eastAsia="宋体" w:cs="Times New Roman"/>
                    </w:rPr>
                  </m:ctrlPr>
                </m:naryPr>
                <m:sub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</w:rPr>
                    <m:t>i</m:t>
                  </m:r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宋体" w:cs="Times New Roman"/>
                      <w:b w:val="0"/>
                      <w:i w:val="0"/>
                    </w:rPr>
                    <m:t>=1</m:t>
                  </m:r>
                  <m:ctrlPr>
                    <w:rPr>
                      <w:rFonts w:hint="default" w:ascii="Cambria Math" w:hAnsi="Cambria Math" w:eastAsia="宋体" w:cs="Times New Roman"/>
                    </w:rPr>
                  </m:ctrlPr>
                </m:sub>
                <m:sup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</w:rPr>
                    <m:t>N</m:t>
                  </m:r>
                  <m:ctrlPr>
                    <w:rPr>
                      <w:rFonts w:hint="default" w:ascii="Cambria Math" w:hAnsi="Cambria Math" w:eastAsia="宋体" w:cs="Times New Roman"/>
                    </w:rPr>
                  </m:ctrlPr>
                </m:sup>
                <m:e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宋体" w:cs="Times New Roman"/>
                      <w:b w:val="0"/>
                      <w:i w:val="0"/>
                    </w:rPr>
                    <m:t>(</m:t>
                  </m:r>
                  <m:ctrlPr>
                    <w:rPr>
                      <w:rFonts w:hint="default" w:ascii="Cambria Math" w:hAnsi="Cambria Math" w:eastAsia="宋体" w:cs="Times New Roman"/>
                    </w:rPr>
                  </m:ctrlPr>
                </m:e>
              </m:nary>
              <m:sSub>
                <m:sSubPr>
                  <m:ctrlPr>
                    <w:rPr>
                      <w:rFonts w:hint="default" w:ascii="Cambria Math" w:hAnsi="Cambria Math" w:eastAsia="宋体" w:cs="Times New Roman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</w:rPr>
                    <m:t>y</m:t>
                  </m:r>
                  <m:ctrlPr>
                    <w:rPr>
                      <w:rFonts w:hint="default" w:ascii="Cambria Math" w:hAnsi="Cambria Math" w:eastAsia="宋体" w:cs="Times New Roman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</w:rPr>
                    <m:t>i</m:t>
                  </m:r>
                  <m:ctrlPr>
                    <w:rPr>
                      <w:rFonts w:hint="default" w:ascii="Cambria Math" w:hAnsi="Cambria Math" w:eastAsia="宋体" w:cs="Times New Roman"/>
                    </w:rPr>
                  </m:ctrlPr>
                </m:sub>
              </m:sSub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b w:val="0"/>
                  <w:i w:val="0"/>
                </w:rPr>
                <m:t>−</m:t>
              </m:r>
              <m:sSub>
                <m:sSubPr>
                  <m:ctrlPr>
                    <w:rPr>
                      <w:rFonts w:hint="default" w:ascii="Cambria Math" w:hAnsi="Cambria Math" w:eastAsia="宋体" w:cs="Times New Roman"/>
                    </w:rPr>
                  </m:ctrlPr>
                </m:sSubPr>
                <m:e>
                  <m:acc>
                    <m:accPr>
                      <m:ctrlPr>
                        <w:rPr>
                          <w:rFonts w:hint="default" w:ascii="Cambria Math" w:hAnsi="Cambria Math" w:eastAsia="宋体" w:cs="Times New Roman"/>
                        </w:rPr>
                      </m:ctrlPr>
                    </m:accPr>
                    <m:e>
                      <m:r>
                        <m:rPr>
                          <m:nor/>
                        </m:rPr>
                        <w:rPr>
                          <w:rFonts w:hint="default" w:ascii="Times New Roman" w:hAnsi="Times New Roman" w:eastAsia="宋体" w:cs="Times New Roman"/>
                          <w:i/>
                        </w:rPr>
                        <m:t>y</m:t>
                      </m:r>
                      <m:ctrlPr>
                        <w:rPr>
                          <w:rFonts w:hint="default" w:ascii="Cambria Math" w:hAnsi="Cambria Math" w:eastAsia="宋体" w:cs="Times New Roman"/>
                        </w:rPr>
                      </m:ctrlPr>
                    </m:e>
                  </m:acc>
                  <m:ctrlPr>
                    <w:rPr>
                      <w:rFonts w:hint="default" w:ascii="Cambria Math" w:hAnsi="Cambria Math" w:eastAsia="宋体" w:cs="Times New Roman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</w:rPr>
                    <m:t>i</m:t>
                  </m:r>
                  <m:ctrlPr>
                    <w:rPr>
                      <w:rFonts w:hint="default" w:ascii="Cambria Math" w:hAnsi="Cambria Math" w:eastAsia="宋体" w:cs="Times New Roman"/>
                    </w:rPr>
                  </m:ctrlPr>
                </m:sub>
              </m:sSub>
              <m:sSup>
                <m:sSupPr>
                  <m:ctrlPr>
                    <w:rPr>
                      <w:rFonts w:hint="default" w:ascii="Cambria Math" w:hAnsi="Cambria Math" w:eastAsia="宋体" w:cs="Times New Roman"/>
                    </w:rPr>
                  </m:ctrlPr>
                </m:sSupPr>
                <m:e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宋体" w:cs="Times New Roman"/>
                      <w:b w:val="0"/>
                      <w:i w:val="0"/>
                    </w:rPr>
                    <m:t>)</m:t>
                  </m:r>
                  <m:ctrlPr>
                    <w:rPr>
                      <w:rFonts w:hint="default" w:ascii="Cambria Math" w:hAnsi="Cambria Math" w:eastAsia="宋体" w:cs="Times New Roman"/>
                    </w:rPr>
                  </m:ctrlPr>
                </m:e>
                <m:sup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宋体" w:cs="Times New Roman"/>
                      <w:b w:val="0"/>
                      <w:i w:val="0"/>
                    </w:rPr>
                    <m:t>2</m:t>
                  </m:r>
                  <m:ctrlPr>
                    <w:rPr>
                      <w:rFonts w:hint="default" w:ascii="Cambria Math" w:hAnsi="Cambria Math" w:eastAsia="宋体" w:cs="Times New Roman"/>
                    </w:rPr>
                  </m:ctrlPr>
                </m:sup>
              </m:sSup>
              <m:ctrlPr>
                <w:rPr>
                  <w:rFonts w:hint="default" w:ascii="Cambria Math" w:hAnsi="Cambria Math" w:eastAsia="宋体" w:cs="Times New Roman"/>
                </w:rPr>
              </m:ctrlPr>
            </m:e>
          </m:rad>
        </m:oMath>
      </m:oMathPara>
    </w:p>
    <w:p w14:paraId="2398A140">
      <w:pPr>
        <w:pStyle w:val="2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RMSE 衡量预测值与真实值之间的平均偏差，取值范围 [0, ∞)。由于对误差取平方后再开方，RMSE 对大误差的惩罚比 MAE 更重——这意味着一个模型如果有少数极端糟糕的预测，其 RMSE 会显著上升。在 ISP 流量场景中，RMSE 反映的是预测误差的绝对大小，受机构流量量级影响大。</w:t>
      </w:r>
    </w:p>
    <w:p w14:paraId="13CD5A8B">
      <w:pPr>
        <w:pStyle w:val="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</w:rPr>
        <w:t>R²（决定系数）</w:t>
      </w:r>
      <w:r>
        <w:rPr>
          <w:rFonts w:hint="default" w:ascii="Times New Roman" w:hAnsi="Times New Roman" w:eastAsia="宋体" w:cs="Times New Roman"/>
        </w:rPr>
        <w:t>：</w:t>
      </w:r>
    </w:p>
    <w:p w14:paraId="3429CACA">
      <w:pPr>
        <w:pStyle w:val="3"/>
        <w:rPr>
          <w:rFonts w:hint="default" w:ascii="Times New Roman" w:hAnsi="Times New Roman" w:eastAsia="宋体" w:cs="Times New Roman"/>
        </w:rPr>
      </w:pPr>
      <m:oMathPara>
        <m:oMathParaPr>
          <m:jc m:val="center"/>
        </m:oMathParaPr>
        <m:oMath>
          <m:sSup>
            <m:sSupPr>
              <m:ctrlPr>
                <w:rPr>
                  <w:rFonts w:hint="default" w:ascii="Cambria Math" w:hAnsi="Cambria Math" w:eastAsia="宋体" w:cs="Times New Roman"/>
                </w:rPr>
              </m:ctrlPr>
            </m:sSupPr>
            <m:e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</w:rPr>
                <m:t>R</m:t>
              </m:r>
              <m:ctrlPr>
                <w:rPr>
                  <w:rFonts w:hint="default" w:ascii="Cambria Math" w:hAnsi="Cambria Math" w:eastAsia="宋体" w:cs="Times New Roman"/>
                </w:rPr>
              </m:ctrlPr>
            </m:e>
            <m:sup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b w:val="0"/>
                  <w:i w:val="0"/>
                </w:rPr>
                <m:t>2</m:t>
              </m:r>
              <m:ctrlPr>
                <w:rPr>
                  <w:rFonts w:hint="default" w:ascii="Cambria Math" w:hAnsi="Cambria Math" w:eastAsia="宋体" w:cs="Times New Roman"/>
                </w:rPr>
              </m:ctrlPr>
            </m:sup>
          </m:sSup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b w:val="0"/>
              <w:i w:val="0"/>
            </w:rPr>
            <m:t>=1−</m:t>
          </m:r>
          <m:f>
            <m:fPr>
              <m:ctrlPr>
                <w:rPr>
                  <w:rFonts w:hint="default" w:ascii="Cambria Math" w:hAnsi="Cambria Math" w:eastAsia="宋体" w:cs="Times New Roman"/>
                </w:rPr>
              </m:ctrlPr>
            </m:fPr>
            <m:num>
              <m:nary>
                <m:naryPr>
                  <m:chr m:val="∑"/>
                  <m:limLoc m:val="undOvr"/>
                  <m:ctrlPr>
                    <w:rPr>
                      <w:rFonts w:hint="default" w:ascii="Cambria Math" w:hAnsi="Cambria Math" w:eastAsia="宋体" w:cs="Times New Roman"/>
                    </w:rPr>
                  </m:ctrlPr>
                </m:naryPr>
                <m:sub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</w:rPr>
                    <m:t>i</m:t>
                  </m:r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宋体" w:cs="Times New Roman"/>
                      <w:b w:val="0"/>
                      <w:i w:val="0"/>
                    </w:rPr>
                    <m:t>=1</m:t>
                  </m:r>
                  <m:ctrlPr>
                    <w:rPr>
                      <w:rFonts w:hint="default" w:ascii="Cambria Math" w:hAnsi="Cambria Math" w:eastAsia="宋体" w:cs="Times New Roman"/>
                    </w:rPr>
                  </m:ctrlPr>
                </m:sub>
                <m:sup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</w:rPr>
                    <m:t>N</m:t>
                  </m:r>
                  <m:ctrlPr>
                    <w:rPr>
                      <w:rFonts w:hint="default" w:ascii="Cambria Math" w:hAnsi="Cambria Math" w:eastAsia="宋体" w:cs="Times New Roman"/>
                    </w:rPr>
                  </m:ctrlPr>
                </m:sup>
                <m:e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宋体" w:cs="Times New Roman"/>
                      <w:b w:val="0"/>
                      <w:i w:val="0"/>
                    </w:rPr>
                    <m:t>(</m:t>
                  </m:r>
                  <m:ctrlPr>
                    <w:rPr>
                      <w:rFonts w:hint="default" w:ascii="Cambria Math" w:hAnsi="Cambria Math" w:eastAsia="宋体" w:cs="Times New Roman"/>
                    </w:rPr>
                  </m:ctrlPr>
                </m:e>
              </m:nary>
              <m:sSub>
                <m:sSubPr>
                  <m:ctrlPr>
                    <w:rPr>
                      <w:rFonts w:hint="default" w:ascii="Cambria Math" w:hAnsi="Cambria Math" w:eastAsia="宋体" w:cs="Times New Roman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</w:rPr>
                    <m:t>y</m:t>
                  </m:r>
                  <m:ctrlPr>
                    <w:rPr>
                      <w:rFonts w:hint="default" w:ascii="Cambria Math" w:hAnsi="Cambria Math" w:eastAsia="宋体" w:cs="Times New Roman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</w:rPr>
                    <m:t>i</m:t>
                  </m:r>
                  <m:ctrlPr>
                    <w:rPr>
                      <w:rFonts w:hint="default" w:ascii="Cambria Math" w:hAnsi="Cambria Math" w:eastAsia="宋体" w:cs="Times New Roman"/>
                    </w:rPr>
                  </m:ctrlPr>
                </m:sub>
              </m:sSub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b w:val="0"/>
                  <w:i w:val="0"/>
                </w:rPr>
                <m:t>−</m:t>
              </m:r>
              <m:sSub>
                <m:sSubPr>
                  <m:ctrlPr>
                    <w:rPr>
                      <w:rFonts w:hint="default" w:ascii="Cambria Math" w:hAnsi="Cambria Math" w:eastAsia="宋体" w:cs="Times New Roman"/>
                    </w:rPr>
                  </m:ctrlPr>
                </m:sSubPr>
                <m:e>
                  <m:acc>
                    <m:accPr>
                      <m:ctrlPr>
                        <w:rPr>
                          <w:rFonts w:hint="default" w:ascii="Cambria Math" w:hAnsi="Cambria Math" w:eastAsia="宋体" w:cs="Times New Roman"/>
                        </w:rPr>
                      </m:ctrlPr>
                    </m:accPr>
                    <m:e>
                      <m:r>
                        <m:rPr>
                          <m:nor/>
                        </m:rPr>
                        <w:rPr>
                          <w:rFonts w:hint="default" w:ascii="Times New Roman" w:hAnsi="Times New Roman" w:eastAsia="宋体" w:cs="Times New Roman"/>
                          <w:i/>
                        </w:rPr>
                        <m:t>y</m:t>
                      </m:r>
                      <m:ctrlPr>
                        <w:rPr>
                          <w:rFonts w:hint="default" w:ascii="Cambria Math" w:hAnsi="Cambria Math" w:eastAsia="宋体" w:cs="Times New Roman"/>
                        </w:rPr>
                      </m:ctrlPr>
                    </m:e>
                  </m:acc>
                  <m:ctrlPr>
                    <w:rPr>
                      <w:rFonts w:hint="default" w:ascii="Cambria Math" w:hAnsi="Cambria Math" w:eastAsia="宋体" w:cs="Times New Roman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</w:rPr>
                    <m:t>i</m:t>
                  </m:r>
                  <m:ctrlPr>
                    <w:rPr>
                      <w:rFonts w:hint="default" w:ascii="Cambria Math" w:hAnsi="Cambria Math" w:eastAsia="宋体" w:cs="Times New Roman"/>
                    </w:rPr>
                  </m:ctrlPr>
                </m:sub>
              </m:sSub>
              <m:sSup>
                <m:sSupPr>
                  <m:ctrlPr>
                    <w:rPr>
                      <w:rFonts w:hint="default" w:ascii="Cambria Math" w:hAnsi="Cambria Math" w:eastAsia="宋体" w:cs="Times New Roman"/>
                    </w:rPr>
                  </m:ctrlPr>
                </m:sSupPr>
                <m:e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宋体" w:cs="Times New Roman"/>
                      <w:b w:val="0"/>
                      <w:i w:val="0"/>
                    </w:rPr>
                    <m:t>)</m:t>
                  </m:r>
                  <m:ctrlPr>
                    <w:rPr>
                      <w:rFonts w:hint="default" w:ascii="Cambria Math" w:hAnsi="Cambria Math" w:eastAsia="宋体" w:cs="Times New Roman"/>
                    </w:rPr>
                  </m:ctrlPr>
                </m:e>
                <m:sup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宋体" w:cs="Times New Roman"/>
                      <w:b w:val="0"/>
                      <w:i w:val="0"/>
                    </w:rPr>
                    <m:t>2</m:t>
                  </m:r>
                  <m:ctrlPr>
                    <w:rPr>
                      <w:rFonts w:hint="default" w:ascii="Cambria Math" w:hAnsi="Cambria Math" w:eastAsia="宋体" w:cs="Times New Roman"/>
                    </w:rPr>
                  </m:ctrlPr>
                </m:sup>
              </m:sSup>
              <m:ctrlPr>
                <w:rPr>
                  <w:rFonts w:hint="default" w:ascii="Cambria Math" w:hAnsi="Cambria Math" w:eastAsia="宋体" w:cs="Times New Roman"/>
                </w:rPr>
              </m:ctrlPr>
            </m:num>
            <m:den>
              <m:nary>
                <m:naryPr>
                  <m:chr m:val="∑"/>
                  <m:limLoc m:val="undOvr"/>
                  <m:ctrlPr>
                    <w:rPr>
                      <w:rFonts w:hint="default" w:ascii="Cambria Math" w:hAnsi="Cambria Math" w:eastAsia="宋体" w:cs="Times New Roman"/>
                    </w:rPr>
                  </m:ctrlPr>
                </m:naryPr>
                <m:sub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</w:rPr>
                    <m:t>i</m:t>
                  </m:r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宋体" w:cs="Times New Roman"/>
                      <w:b w:val="0"/>
                      <w:i w:val="0"/>
                    </w:rPr>
                    <m:t>=1</m:t>
                  </m:r>
                  <m:ctrlPr>
                    <w:rPr>
                      <w:rFonts w:hint="default" w:ascii="Cambria Math" w:hAnsi="Cambria Math" w:eastAsia="宋体" w:cs="Times New Roman"/>
                    </w:rPr>
                  </m:ctrlPr>
                </m:sub>
                <m:sup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</w:rPr>
                    <m:t>N</m:t>
                  </m:r>
                  <m:ctrlPr>
                    <w:rPr>
                      <w:rFonts w:hint="default" w:ascii="Cambria Math" w:hAnsi="Cambria Math" w:eastAsia="宋体" w:cs="Times New Roman"/>
                    </w:rPr>
                  </m:ctrlPr>
                </m:sup>
                <m:e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宋体" w:cs="Times New Roman"/>
                      <w:b w:val="0"/>
                      <w:i w:val="0"/>
                    </w:rPr>
                    <m:t>(</m:t>
                  </m:r>
                  <m:ctrlPr>
                    <w:rPr>
                      <w:rFonts w:hint="default" w:ascii="Cambria Math" w:hAnsi="Cambria Math" w:eastAsia="宋体" w:cs="Times New Roman"/>
                    </w:rPr>
                  </m:ctrlPr>
                </m:e>
              </m:nary>
              <m:sSub>
                <m:sSubPr>
                  <m:ctrlPr>
                    <w:rPr>
                      <w:rFonts w:hint="default" w:ascii="Cambria Math" w:hAnsi="Cambria Math" w:eastAsia="宋体" w:cs="Times New Roman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</w:rPr>
                    <m:t>y</m:t>
                  </m:r>
                  <m:ctrlPr>
                    <w:rPr>
                      <w:rFonts w:hint="default" w:ascii="Cambria Math" w:hAnsi="Cambria Math" w:eastAsia="宋体" w:cs="Times New Roman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</w:rPr>
                    <m:t>i</m:t>
                  </m:r>
                  <m:ctrlPr>
                    <w:rPr>
                      <w:rFonts w:hint="default" w:ascii="Cambria Math" w:hAnsi="Cambria Math" w:eastAsia="宋体" w:cs="Times New Roman"/>
                    </w:rPr>
                  </m:ctrlPr>
                </m:sub>
              </m:sSub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b w:val="0"/>
                  <w:i w:val="0"/>
                </w:rPr>
                <m:t>−</m:t>
              </m:r>
              <m:acc>
                <m:accPr>
                  <m:chr m:val="‾"/>
                  <m:ctrlPr>
                    <w:rPr>
                      <w:rFonts w:hint="default" w:ascii="Cambria Math" w:hAnsi="Cambria Math" w:eastAsia="宋体" w:cs="Times New Roman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</w:rPr>
                    <m:t>y</m:t>
                  </m:r>
                  <m:ctrlPr>
                    <w:rPr>
                      <w:rFonts w:hint="default" w:ascii="Cambria Math" w:hAnsi="Cambria Math" w:eastAsia="宋体" w:cs="Times New Roman"/>
                    </w:rPr>
                  </m:ctrlPr>
                </m:e>
              </m:acc>
              <m:sSup>
                <m:sSupPr>
                  <m:ctrlPr>
                    <w:rPr>
                      <w:rFonts w:hint="default" w:ascii="Cambria Math" w:hAnsi="Cambria Math" w:eastAsia="宋体" w:cs="Times New Roman"/>
                    </w:rPr>
                  </m:ctrlPr>
                </m:sSupPr>
                <m:e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宋体" w:cs="Times New Roman"/>
                      <w:b w:val="0"/>
                      <w:i w:val="0"/>
                    </w:rPr>
                    <m:t>)</m:t>
                  </m:r>
                  <m:ctrlPr>
                    <w:rPr>
                      <w:rFonts w:hint="default" w:ascii="Cambria Math" w:hAnsi="Cambria Math" w:eastAsia="宋体" w:cs="Times New Roman"/>
                    </w:rPr>
                  </m:ctrlPr>
                </m:e>
                <m:sup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宋体" w:cs="Times New Roman"/>
                      <w:b w:val="0"/>
                      <w:i w:val="0"/>
                    </w:rPr>
                    <m:t>2</m:t>
                  </m:r>
                  <m:ctrlPr>
                    <w:rPr>
                      <w:rFonts w:hint="default" w:ascii="Cambria Math" w:hAnsi="Cambria Math" w:eastAsia="宋体" w:cs="Times New Roman"/>
                    </w:rPr>
                  </m:ctrlPr>
                </m:sup>
              </m:sSup>
              <m:ctrlPr>
                <w:rPr>
                  <w:rFonts w:hint="default" w:ascii="Cambria Math" w:hAnsi="Cambria Math" w:eastAsia="宋体" w:cs="Times New Roman"/>
                </w:rPr>
              </m:ctrlPr>
            </m:den>
          </m:f>
        </m:oMath>
      </m:oMathPara>
    </w:p>
    <w:p w14:paraId="50A86A71">
      <w:pPr>
        <w:pStyle w:val="2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R² 衡量模型相比”直接猜均值”的改进程度。R²=1 表示完美预测，R²=0 表示模型效果与猜均值相当，R²&lt;0 表示模型比猜均值还差。需要特别注意的是：当测试集分布与训练集存在显著差异时，R² 可能出现极端负值（本实验中观察到 -10^9 量级），此时均值失去意义，应以中位数作为主要参考。</w:t>
      </w:r>
    </w:p>
    <w:p w14:paraId="42848E54">
      <w:pPr>
        <w:pStyle w:val="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</w:rPr>
        <w:t>sMAPE（对称平均绝对百分比误差）</w:t>
      </w:r>
      <w:r>
        <w:rPr>
          <w:rFonts w:hint="default" w:ascii="Times New Roman" w:hAnsi="Times New Roman" w:eastAsia="宋体" w:cs="Times New Roman"/>
        </w:rPr>
        <w:t>：</w:t>
      </w:r>
    </w:p>
    <w:p w14:paraId="0F8C9196">
      <w:pPr>
        <w:pStyle w:val="3"/>
        <w:rPr>
          <w:rFonts w:hint="default" w:ascii="Times New Roman" w:hAnsi="Times New Roman" w:eastAsia="宋体" w:cs="Times New Roman"/>
        </w:rPr>
      </w:pPr>
      <m:oMathPara>
        <m:oMathParaPr>
          <m:jc m:val="center"/>
        </m:oMathParaPr>
        <m:oMath>
          <m:r>
            <m:rPr>
              <m:nor/>
            </m:rPr>
            <w:rPr>
              <w:rFonts w:hint="default" w:ascii="Times New Roman" w:hAnsi="Times New Roman" w:eastAsia="宋体" w:cs="Times New Roman"/>
              <w:i/>
            </w:rPr>
            <m:t>sMAPE</m:t>
          </m:r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b w:val="0"/>
              <w:i w:val="0"/>
            </w:rPr>
            <m:t>=</m:t>
          </m:r>
          <m:f>
            <m:fPr>
              <m:ctrlPr>
                <w:rPr>
                  <w:rFonts w:hint="default" w:ascii="Cambria Math" w:hAnsi="Cambria Math" w:eastAsia="宋体" w:cs="Times New Roman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b w:val="0"/>
                  <w:i w:val="0"/>
                </w:rPr>
                <m:t>100%</m:t>
              </m:r>
              <m:ctrlPr>
                <w:rPr>
                  <w:rFonts w:hint="default" w:ascii="Cambria Math" w:hAnsi="Cambria Math" w:eastAsia="宋体" w:cs="Times New Roman"/>
                </w:rPr>
              </m:ctrlPr>
            </m:num>
            <m:den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</w:rPr>
                <m:t>N</m:t>
              </m:r>
              <m:ctrlPr>
                <w:rPr>
                  <w:rFonts w:hint="default" w:ascii="Cambria Math" w:hAnsi="Cambria Math" w:eastAsia="宋体" w:cs="Times New Roman"/>
                </w:rPr>
              </m:ctrlPr>
            </m:den>
          </m:f>
          <m:nary>
            <m:naryPr>
              <m:chr m:val="∑"/>
              <m:limLoc m:val="undOvr"/>
              <m:ctrlPr>
                <w:rPr>
                  <w:rFonts w:hint="default" w:ascii="Cambria Math" w:hAnsi="Cambria Math" w:eastAsia="宋体" w:cs="Times New Roman"/>
                </w:rPr>
              </m:ctrlPr>
            </m:naryPr>
            <m:sub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</w:rPr>
                <m:t>i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b w:val="0"/>
                  <w:i w:val="0"/>
                </w:rPr>
                <m:t>=1</m:t>
              </m:r>
              <m:ctrlPr>
                <w:rPr>
                  <w:rFonts w:hint="default" w:ascii="Cambria Math" w:hAnsi="Cambria Math" w:eastAsia="宋体" w:cs="Times New Roman"/>
                </w:rPr>
              </m:ctrlPr>
            </m:sub>
            <m:sup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</w:rPr>
                <m:t>N</m:t>
              </m:r>
              <m:ctrlPr>
                <w:rPr>
                  <w:rFonts w:hint="default" w:ascii="Cambria Math" w:hAnsi="Cambria Math" w:eastAsia="宋体" w:cs="Times New Roman"/>
                </w:rPr>
              </m:ctrlPr>
            </m:sup>
            <m:e>
              <m:f>
                <m:fPr>
                  <m:ctrlPr>
                    <w:rPr>
                      <w:rFonts w:hint="default" w:ascii="Cambria Math" w:hAnsi="Cambria Math" w:eastAsia="宋体" w:cs="Times New Roman"/>
                    </w:rPr>
                  </m:ctrlPr>
                </m:fPr>
                <m:num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宋体" w:cs="Times New Roman"/>
                      <w:b w:val="0"/>
                      <w:i w:val="0"/>
                    </w:rPr>
                    <m:t>2|</m:t>
                  </m:r>
                  <m:sSub>
                    <m:sSubPr>
                      <m:ctrlPr>
                        <w:rPr>
                          <w:rFonts w:hint="default" w:ascii="Cambria Math" w:hAnsi="Cambria Math" w:eastAsia="宋体" w:cs="Times New Roman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hint="default" w:ascii="Times New Roman" w:hAnsi="Times New Roman" w:eastAsia="宋体" w:cs="Times New Roman"/>
                          <w:i/>
                        </w:rPr>
                        <m:t>y</m:t>
                      </m:r>
                      <m:ctrlPr>
                        <w:rPr>
                          <w:rFonts w:hint="default" w:ascii="Cambria Math" w:hAnsi="Cambria Math" w:eastAsia="宋体" w:cs="Times New Roman"/>
                        </w:rPr>
                      </m:ctrlPr>
                    </m:e>
                    <m:sub>
                      <m:r>
                        <m:rPr>
                          <m:nor/>
                        </m:rPr>
                        <w:rPr>
                          <w:rFonts w:hint="default" w:ascii="Times New Roman" w:hAnsi="Times New Roman" w:eastAsia="宋体" w:cs="Times New Roman"/>
                          <w:i/>
                        </w:rPr>
                        <m:t>i</m:t>
                      </m:r>
                      <m:ctrlPr>
                        <w:rPr>
                          <w:rFonts w:hint="default" w:ascii="Cambria Math" w:hAnsi="Cambria Math" w:eastAsia="宋体" w:cs="Times New Roman"/>
                        </w:rPr>
                      </m:ctrlPr>
                    </m:sub>
                  </m:sSub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宋体" w:cs="Times New Roman"/>
                      <w:b w:val="0"/>
                      <w:i w:val="0"/>
                    </w:rPr>
                    <m:t>−</m:t>
                  </m:r>
                  <m:sSub>
                    <m:sSubPr>
                      <m:ctrlPr>
                        <w:rPr>
                          <w:rFonts w:hint="default" w:ascii="Cambria Math" w:hAnsi="Cambria Math" w:eastAsia="宋体" w:cs="Times New Roman"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hint="default" w:ascii="Cambria Math" w:hAnsi="Cambria Math" w:eastAsia="宋体" w:cs="Times New Roman"/>
                            </w:rPr>
                          </m:ctrlPr>
                        </m:accPr>
                        <m:e>
                          <m:r>
                            <m:rPr>
                              <m:nor/>
                            </m:rPr>
                            <w:rPr>
                              <w:rFonts w:hint="default" w:ascii="Times New Roman" w:hAnsi="Times New Roman" w:eastAsia="宋体" w:cs="Times New Roman"/>
                              <w:i/>
                            </w:rPr>
                            <m:t>y</m:t>
                          </m:r>
                          <m:ctrlPr>
                            <w:rPr>
                              <w:rFonts w:hint="default" w:ascii="Cambria Math" w:hAnsi="Cambria Math" w:eastAsia="宋体" w:cs="Times New Roman"/>
                            </w:rPr>
                          </m:ctrlPr>
                        </m:e>
                      </m:acc>
                      <m:ctrlPr>
                        <w:rPr>
                          <w:rFonts w:hint="default" w:ascii="Cambria Math" w:hAnsi="Cambria Math" w:eastAsia="宋体" w:cs="Times New Roman"/>
                        </w:rPr>
                      </m:ctrlPr>
                    </m:e>
                    <m:sub>
                      <m:r>
                        <m:rPr>
                          <m:nor/>
                        </m:rPr>
                        <w:rPr>
                          <w:rFonts w:hint="default" w:ascii="Times New Roman" w:hAnsi="Times New Roman" w:eastAsia="宋体" w:cs="Times New Roman"/>
                          <w:i/>
                        </w:rPr>
                        <m:t>i</m:t>
                      </m:r>
                      <m:ctrlPr>
                        <w:rPr>
                          <w:rFonts w:hint="default" w:ascii="Cambria Math" w:hAnsi="Cambria Math" w:eastAsia="宋体" w:cs="Times New Roman"/>
                        </w:rPr>
                      </m:ctrlPr>
                    </m:sub>
                  </m:sSub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宋体" w:cs="Times New Roman"/>
                      <w:b w:val="0"/>
                      <w:i w:val="0"/>
                    </w:rPr>
                    <m:t>|</m:t>
                  </m:r>
                  <m:ctrlPr>
                    <w:rPr>
                      <w:rFonts w:hint="default" w:ascii="Cambria Math" w:hAnsi="Cambria Math" w:eastAsia="宋体" w:cs="Times New Roman"/>
                    </w:rPr>
                  </m:ctrlPr>
                </m:num>
                <m:den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宋体" w:cs="Times New Roman"/>
                      <w:b w:val="0"/>
                      <w:i w:val="0"/>
                    </w:rPr>
                    <m:t>|</m:t>
                  </m:r>
                  <m:sSub>
                    <m:sSubPr>
                      <m:ctrlPr>
                        <w:rPr>
                          <w:rFonts w:hint="default" w:ascii="Cambria Math" w:hAnsi="Cambria Math" w:eastAsia="宋体" w:cs="Times New Roman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hint="default" w:ascii="Times New Roman" w:hAnsi="Times New Roman" w:eastAsia="宋体" w:cs="Times New Roman"/>
                          <w:i/>
                        </w:rPr>
                        <m:t>y</m:t>
                      </m:r>
                      <m:ctrlPr>
                        <w:rPr>
                          <w:rFonts w:hint="default" w:ascii="Cambria Math" w:hAnsi="Cambria Math" w:eastAsia="宋体" w:cs="Times New Roman"/>
                        </w:rPr>
                      </m:ctrlPr>
                    </m:e>
                    <m:sub>
                      <m:r>
                        <m:rPr>
                          <m:nor/>
                        </m:rPr>
                        <w:rPr>
                          <w:rFonts w:hint="default" w:ascii="Times New Roman" w:hAnsi="Times New Roman" w:eastAsia="宋体" w:cs="Times New Roman"/>
                          <w:i/>
                        </w:rPr>
                        <m:t>i</m:t>
                      </m:r>
                      <m:ctrlPr>
                        <w:rPr>
                          <w:rFonts w:hint="default" w:ascii="Cambria Math" w:hAnsi="Cambria Math" w:eastAsia="宋体" w:cs="Times New Roman"/>
                        </w:rPr>
                      </m:ctrlPr>
                    </m:sub>
                  </m:sSub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宋体" w:cs="Times New Roman"/>
                      <w:b w:val="0"/>
                      <w:i w:val="0"/>
                    </w:rPr>
                    <m:t>|+|</m:t>
                  </m:r>
                  <m:sSub>
                    <m:sSubPr>
                      <m:ctrlPr>
                        <w:rPr>
                          <w:rFonts w:hint="default" w:ascii="Cambria Math" w:hAnsi="Cambria Math" w:eastAsia="宋体" w:cs="Times New Roman"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hint="default" w:ascii="Cambria Math" w:hAnsi="Cambria Math" w:eastAsia="宋体" w:cs="Times New Roman"/>
                            </w:rPr>
                          </m:ctrlPr>
                        </m:accPr>
                        <m:e>
                          <m:r>
                            <m:rPr>
                              <m:nor/>
                            </m:rPr>
                            <w:rPr>
                              <w:rFonts w:hint="default" w:ascii="Times New Roman" w:hAnsi="Times New Roman" w:eastAsia="宋体" w:cs="Times New Roman"/>
                              <w:i/>
                            </w:rPr>
                            <m:t>y</m:t>
                          </m:r>
                          <m:ctrlPr>
                            <w:rPr>
                              <w:rFonts w:hint="default" w:ascii="Cambria Math" w:hAnsi="Cambria Math" w:eastAsia="宋体" w:cs="Times New Roman"/>
                            </w:rPr>
                          </m:ctrlPr>
                        </m:e>
                      </m:acc>
                      <m:ctrlPr>
                        <w:rPr>
                          <w:rFonts w:hint="default" w:ascii="Cambria Math" w:hAnsi="Cambria Math" w:eastAsia="宋体" w:cs="Times New Roman"/>
                        </w:rPr>
                      </m:ctrlPr>
                    </m:e>
                    <m:sub>
                      <m:r>
                        <m:rPr>
                          <m:nor/>
                        </m:rPr>
                        <w:rPr>
                          <w:rFonts w:hint="default" w:ascii="Times New Roman" w:hAnsi="Times New Roman" w:eastAsia="宋体" w:cs="Times New Roman"/>
                          <w:i/>
                        </w:rPr>
                        <m:t>i</m:t>
                      </m:r>
                      <m:ctrlPr>
                        <w:rPr>
                          <w:rFonts w:hint="default" w:ascii="Cambria Math" w:hAnsi="Cambria Math" w:eastAsia="宋体" w:cs="Times New Roman"/>
                        </w:rPr>
                      </m:ctrlPr>
                    </m:sub>
                  </m:sSub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宋体" w:cs="Times New Roman"/>
                      <w:b w:val="0"/>
                      <w:i w:val="0"/>
                    </w:rPr>
                    <m:t>|</m:t>
                  </m:r>
                  <m:ctrlPr>
                    <w:rPr>
                      <w:rFonts w:hint="default" w:ascii="Cambria Math" w:hAnsi="Cambria Math" w:eastAsia="宋体" w:cs="Times New Roman"/>
                    </w:rPr>
                  </m:ctrlPr>
                </m:den>
              </m:f>
              <m:ctrlPr>
                <w:rPr>
                  <w:rFonts w:hint="default" w:ascii="Cambria Math" w:hAnsi="Cambria Math" w:eastAsia="宋体" w:cs="Times New Roman"/>
                </w:rPr>
              </m:ctrlPr>
            </m:e>
          </m:nary>
        </m:oMath>
      </m:oMathPara>
    </w:p>
    <w:p w14:paraId="759A8521">
      <w:pPr>
        <w:pStyle w:val="2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sMAPE 以百分比形式衡量相对误差，取值范围 [0%, 200%]。与 MAPE 不同，sMAPE 的分母同时包含真实值和预测值，避免了对预测值接近零时的放大效应。当 yi=ŷi=0 时该点不参与计算。</w:t>
      </w:r>
    </w:p>
    <w:bookmarkEnd w:id="9"/>
    <w:p w14:paraId="67FBF5B7">
      <w:pPr>
        <w:pStyle w:val="5"/>
        <w:rPr>
          <w:rFonts w:hint="default" w:ascii="Times New Roman" w:hAnsi="Times New Roman" w:eastAsia="宋体" w:cs="Times New Roman"/>
        </w:rPr>
      </w:pPr>
      <w:bookmarkStart w:id="10" w:name="实验环境"/>
      <w:r>
        <w:rPr>
          <w:rFonts w:hint="default" w:ascii="Times New Roman" w:hAnsi="Times New Roman" w:eastAsia="宋体" w:cs="Times New Roman"/>
        </w:rPr>
        <w:t>4.3 实验环境</w:t>
      </w:r>
    </w:p>
    <w:p w14:paraId="68C0760C">
      <w:pPr>
        <w:pStyle w:val="24"/>
        <w:numPr>
          <w:ilvl w:val="0"/>
          <w:numId w:val="1"/>
        </w:num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GPU：NVIDIA GeForce RTX 5060 Laptop (CUDA 12.8)</w:t>
      </w:r>
    </w:p>
    <w:p w14:paraId="1708D191">
      <w:pPr>
        <w:pStyle w:val="24"/>
        <w:numPr>
          <w:ilvl w:val="0"/>
          <w:numId w:val="1"/>
        </w:num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深度学习框架：PyTorch 2.11.0（纯 torch.nn，未使用 Lightning/tsai）</w:t>
      </w:r>
    </w:p>
    <w:p w14:paraId="57AD02B5">
      <w:pPr>
        <w:pStyle w:val="24"/>
        <w:numPr>
          <w:ilvl w:val="0"/>
          <w:numId w:val="1"/>
        </w:num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统计模型：statsmodels 0.14</w:t>
      </w:r>
    </w:p>
    <w:p w14:paraId="1C723564">
      <w:pPr>
        <w:pStyle w:val="24"/>
        <w:numPr>
          <w:ilvl w:val="0"/>
          <w:numId w:val="1"/>
        </w:num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环境管理：uv，Python 3.12</w:t>
      </w:r>
    </w:p>
    <w:bookmarkEnd w:id="7"/>
    <w:bookmarkEnd w:id="10"/>
    <w:p w14:paraId="708AE3C6">
      <w:pPr>
        <w:pStyle w:val="4"/>
        <w:rPr>
          <w:rFonts w:hint="default" w:ascii="Times New Roman" w:hAnsi="Times New Roman" w:eastAsia="宋体" w:cs="Times New Roman"/>
        </w:rPr>
      </w:pPr>
      <w:bookmarkStart w:id="11" w:name="结果与分析"/>
      <w:r>
        <w:rPr>
          <w:rFonts w:hint="default" w:ascii="Times New Roman" w:hAnsi="Times New Roman" w:eastAsia="宋体" w:cs="Times New Roman"/>
        </w:rPr>
        <w:t>5. 结果与分析</w:t>
      </w:r>
    </w:p>
    <w:p w14:paraId="058CE9ED">
      <w:pPr>
        <w:pStyle w:val="5"/>
        <w:rPr>
          <w:rFonts w:hint="default" w:ascii="Times New Roman" w:hAnsi="Times New Roman" w:eastAsia="宋体" w:cs="Times New Roman"/>
        </w:rPr>
      </w:pPr>
      <w:bookmarkStart w:id="12" w:name="模型整体对比"/>
      <w:r>
        <w:rPr>
          <w:rFonts w:hint="default" w:ascii="Times New Roman" w:hAnsi="Times New Roman" w:eastAsia="宋体" w:cs="Times New Roman"/>
        </w:rPr>
        <w:t>5.1 模型整体对比</w:t>
      </w:r>
    </w:p>
    <w:p w14:paraId="186830CE">
      <w:pPr>
        <w:pStyle w:val="2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在 237 条机构级序列上的对比结果（窗口 (24,24)，35:5:60 分割）：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0"/>
        <w:gridCol w:w="1868"/>
        <w:gridCol w:w="1229"/>
        <w:gridCol w:w="1244"/>
        <w:gridCol w:w="1650"/>
      </w:tblGrid>
      <w:tr w14:paraId="229638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</w:tcPr>
          <w:p w14:paraId="275D81C1">
            <w:pPr>
              <w:pStyle w:val="24"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模型</w:t>
            </w:r>
          </w:p>
        </w:tc>
        <w:tc>
          <w:tcPr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1BEFA43D">
            <w:pPr>
              <w:pStyle w:val="24"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R² 均值(裁剪后)</w:t>
            </w:r>
          </w:p>
        </w:tc>
        <w:tc>
          <w:tcPr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7BC83735">
            <w:pPr>
              <w:pStyle w:val="24"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R² 中位数</w:t>
            </w:r>
          </w:p>
        </w:tc>
        <w:tc>
          <w:tcPr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6C893545">
            <w:pPr>
              <w:pStyle w:val="24"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R²&gt;0 占比</w:t>
            </w:r>
          </w:p>
        </w:tc>
        <w:tc>
          <w:tcPr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1C610B6A">
            <w:pPr>
              <w:pStyle w:val="24"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RMSE 中位数</w:t>
            </w:r>
          </w:p>
        </w:tc>
      </w:tr>
      <w:tr w14:paraId="109F18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0A2A074E">
            <w:pPr>
              <w:pStyle w:val="24"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Mean</w:t>
            </w:r>
          </w:p>
        </w:tc>
        <w:tc>
          <w:tcPr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61E2574A">
            <w:pPr>
              <w:pStyle w:val="24"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0.015</w:t>
            </w:r>
          </w:p>
        </w:tc>
        <w:tc>
          <w:tcPr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57E1A88F">
            <w:pPr>
              <w:pStyle w:val="24"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-0.012</w:t>
            </w:r>
          </w:p>
        </w:tc>
        <w:tc>
          <w:tcPr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501E8D5C">
            <w:pPr>
              <w:pStyle w:val="24"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40.1%</w:t>
            </w:r>
          </w:p>
        </w:tc>
        <w:tc>
          <w:tcPr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4145F275">
            <w:pPr>
              <w:pStyle w:val="24"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4.6e8</w:t>
            </w:r>
          </w:p>
        </w:tc>
      </w:tr>
      <w:tr w14:paraId="08ECC7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3568A8">
            <w:pPr>
              <w:pStyle w:val="24"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LSTM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D5A26D">
            <w:pPr>
              <w:pStyle w:val="24"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0.070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BE88409">
            <w:pPr>
              <w:pStyle w:val="24"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0.113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3745DCA">
            <w:pPr>
              <w:pStyle w:val="24"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83.1%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1F0540">
            <w:pPr>
              <w:pStyle w:val="24"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4.3e8</w:t>
            </w:r>
          </w:p>
        </w:tc>
      </w:tr>
      <w:tr w14:paraId="1EBF17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D3DF25">
            <w:pPr>
              <w:pStyle w:val="24"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GRU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CA2B845">
            <w:pPr>
              <w:pStyle w:val="24"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0.113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C71ABAE">
            <w:pPr>
              <w:pStyle w:val="24"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</w:rPr>
              <w:t>0.136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97F9FD">
            <w:pPr>
              <w:pStyle w:val="24"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80.2%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F684812">
            <w:pPr>
              <w:pStyle w:val="24"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4.2e8</w:t>
            </w:r>
          </w:p>
        </w:tc>
      </w:tr>
      <w:tr w14:paraId="3728FC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07C8EFC1">
            <w:pPr>
              <w:pStyle w:val="24"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SARIMA（滚动）</w:t>
            </w:r>
          </w:p>
        </w:tc>
        <w:tc>
          <w:tcPr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42D0E202">
            <w:pPr>
              <w:pStyle w:val="24"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</w:rPr>
              <w:t>0.170</w:t>
            </w:r>
          </w:p>
        </w:tc>
        <w:tc>
          <w:tcPr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2A34834C">
            <w:pPr>
              <w:pStyle w:val="24"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</w:rPr>
              <w:t>0.183</w:t>
            </w:r>
          </w:p>
        </w:tc>
        <w:tc>
          <w:tcPr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375D7598">
            <w:pPr>
              <w:pStyle w:val="24"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</w:rPr>
              <w:t>89.0%</w:t>
            </w:r>
          </w:p>
        </w:tc>
        <w:tc>
          <w:tcPr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64EB995C">
            <w:pPr>
              <w:pStyle w:val="24"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3.7e8</w:t>
            </w:r>
          </w:p>
        </w:tc>
      </w:tr>
    </w:tbl>
    <w:p w14:paraId="270ECE6C">
      <w:pPr>
        <w:pStyle w:val="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drawing>
          <wp:inline distT="0" distB="0" distL="114300" distR="114300">
            <wp:extent cx="5334000" cy="1643380"/>
            <wp:effectExtent l="0" t="0" r="0" b="0"/>
            <wp:docPr id="35" name="Picture" descr="R²分布对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" descr="R²分布对比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643811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i/>
          <w:iCs/>
        </w:rPr>
        <w:t>图 6：R² 分布对比——LSTM/GRU 分布明显右移</w:t>
      </w:r>
    </w:p>
    <w:p w14:paraId="3DF0AF0C">
      <w:pPr>
        <w:pStyle w:val="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</w:rPr>
        <w:t>核心发现</w:t>
      </w:r>
      <w:r>
        <w:rPr>
          <w:rFonts w:hint="default" w:ascii="Times New Roman" w:hAnsi="Times New Roman" w:eastAsia="宋体" w:cs="Times New Roman"/>
        </w:rPr>
        <w:t>：GRU 和 LSTM 均显著优于 Mean 基线。GRU 的 R² 中位数 0.136 高于 LSTM 的 0.113，两者相差不大，但头对头对比中 GRU 胜出 56.5%，这与论文”GRU ≈ LSTM 且 GRU 略优”的结论一致。SARIMA 在滚动预测下 R² 中位数达 0.183，甚至略优于 LSTM 和 GRU，这与论文”SARIMA 在所有模型中垫底”的结论形成鲜明对比。</w:t>
      </w:r>
    </w:p>
    <w:p w14:paraId="2533E9D9">
      <w:pPr>
        <w:pStyle w:val="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与论文的差异原因：论文对 SARIMA 仅做一次全局拟合，单一预测结果复制给所有测试窗口，这严重限制了统计模型的表达能力。本实验的滚动预测策略使 SARIMA 获得公平竞争的机会。</w:t>
      </w:r>
    </w:p>
    <w:bookmarkEnd w:id="12"/>
    <w:p w14:paraId="36122305">
      <w:pPr>
        <w:pStyle w:val="5"/>
        <w:rPr>
          <w:rFonts w:hint="default" w:ascii="Times New Roman" w:hAnsi="Times New Roman" w:eastAsia="宋体" w:cs="Times New Roman"/>
        </w:rPr>
      </w:pPr>
      <w:bookmarkStart w:id="13" w:name="窗口配置对比"/>
      <w:r>
        <w:rPr>
          <w:rFonts w:hint="default" w:ascii="Times New Roman" w:hAnsi="Times New Roman" w:eastAsia="宋体" w:cs="Times New Roman"/>
        </w:rPr>
        <w:t>5.2 窗口配置对比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6"/>
        <w:gridCol w:w="1929"/>
        <w:gridCol w:w="1795"/>
      </w:tblGrid>
      <w:tr w14:paraId="6C4204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</w:tcPr>
          <w:p w14:paraId="2DB285DD">
            <w:pPr>
              <w:pStyle w:val="24"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窗口</w:t>
            </w:r>
          </w:p>
        </w:tc>
        <w:tc>
          <w:tcPr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14C4CB01">
            <w:pPr>
              <w:pStyle w:val="24"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LSTM R² 中位数</w:t>
            </w:r>
          </w:p>
        </w:tc>
        <w:tc>
          <w:tcPr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27492985">
            <w:pPr>
              <w:pStyle w:val="24"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GRU R² 中位数</w:t>
            </w:r>
          </w:p>
        </w:tc>
      </w:tr>
      <w:tr w14:paraId="54398F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75DD412B">
            <w:pPr>
              <w:pStyle w:val="24"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(24,24)</w:t>
            </w:r>
          </w:p>
        </w:tc>
        <w:tc>
          <w:tcPr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627B4444">
            <w:pPr>
              <w:pStyle w:val="24"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0.098</w:t>
            </w:r>
          </w:p>
        </w:tc>
        <w:tc>
          <w:tcPr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6697CF25">
            <w:pPr>
              <w:pStyle w:val="24"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0.097</w:t>
            </w:r>
          </w:p>
        </w:tc>
      </w:tr>
      <w:tr w14:paraId="43E805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018231">
            <w:pPr>
              <w:pStyle w:val="24"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(168,24)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6E5D481">
            <w:pPr>
              <w:pStyle w:val="24"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0.095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F4ADCC">
            <w:pPr>
              <w:pStyle w:val="24"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0.099</w:t>
            </w:r>
          </w:p>
        </w:tc>
      </w:tr>
      <w:tr w14:paraId="1CB642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DD459D7">
            <w:pPr>
              <w:pStyle w:val="24"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(168,168)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0F9CC1">
            <w:pPr>
              <w:pStyle w:val="24"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0.046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6C1793">
            <w:pPr>
              <w:pStyle w:val="24"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0.063</w:t>
            </w:r>
          </w:p>
        </w:tc>
      </w:tr>
      <w:tr w14:paraId="3171B5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3E55E9E8">
            <w:pPr>
              <w:pStyle w:val="24"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(744,168)</w:t>
            </w:r>
          </w:p>
        </w:tc>
        <w:tc>
          <w:tcPr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709E97ED">
            <w:pPr>
              <w:pStyle w:val="24"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0.032</w:t>
            </w:r>
          </w:p>
        </w:tc>
        <w:tc>
          <w:tcPr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41E4AF16">
            <w:pPr>
              <w:pStyle w:val="24"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0.047</w:t>
            </w:r>
          </w:p>
        </w:tc>
      </w:tr>
    </w:tbl>
    <w:p w14:paraId="4503404B">
      <w:pPr>
        <w:pStyle w:val="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drawing>
          <wp:inline distT="0" distB="0" distL="114300" distR="114300">
            <wp:extent cx="5334000" cy="2639695"/>
            <wp:effectExtent l="0" t="0" r="0" b="0"/>
            <wp:docPr id="39" name="Picture" descr="窗口趋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" descr="窗口趋势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6400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i/>
          <w:iCs/>
        </w:rPr>
        <w:t>图 7：不同窗口配置 R² 趋势</w:t>
      </w:r>
    </w:p>
    <w:p w14:paraId="00AAC0AE">
      <w:pPr>
        <w:pStyle w:val="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两种模型在不同窗口下的性能变化趋势一致：短期预测（24h）效果最好，R² 中位数约 0.10；长期预测（168h 和 744h）的 R² 降至 0.05 以下，衰减超 50%。这符合直觉——预测未来 1 天的流量模式（受日周期支配）比预测未来 1 周（受更多不确定性因素影响）要容易得多。同时，更长训练窗口（744h）并未带来明显收益，说明更久远的历史数据对预测的帮助有限。</w:t>
      </w:r>
    </w:p>
    <w:bookmarkEnd w:id="13"/>
    <w:p w14:paraId="7219AB06">
      <w:pPr>
        <w:pStyle w:val="5"/>
        <w:rPr>
          <w:rFonts w:hint="default" w:ascii="Times New Roman" w:hAnsi="Times New Roman" w:eastAsia="宋体" w:cs="Times New Roman"/>
        </w:rPr>
      </w:pPr>
      <w:bookmarkStart w:id="14" w:name="sarima-滚动预测与可解释性"/>
      <w:r>
        <w:rPr>
          <w:rFonts w:hint="default" w:ascii="Times New Roman" w:hAnsi="Times New Roman" w:eastAsia="宋体" w:cs="Times New Roman"/>
        </w:rPr>
        <w:t>5.3 SARIMA 滚动预测与可解释性</w:t>
      </w:r>
    </w:p>
    <w:p w14:paraId="7B9CCDB8">
      <w:pPr>
        <w:pStyle w:val="2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论文报告 SARIMA 的效果在所有模型中垫底（R² 大面积负值），但这并非模型本身能力不足，而是评估方式的问题。论文的做法是在训练集上拟合一次 SARIMA，将固定预测结果（趋近历史均值）重复用于所有测试窗口。这忽视了滑动窗口评估框架的”逐窗口独立预测”特性，而 DL 模型恰好在这一框架下享有天然优势——每个测试窗口进行一次 forward 即可。</w:t>
      </w:r>
    </w:p>
    <w:p w14:paraId="2D33B260">
      <w:pPr>
        <w:pStyle w:val="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本实验的滚动预测策略，对每个测试窗口都用截至当前的全部历史数据重新拟合 SARIMA，再预测未来 24 小时：</w:t>
      </w:r>
    </w:p>
    <w:p w14:paraId="0232D73E">
      <w:pPr>
        <w:pStyle w:val="49"/>
        <w:rPr>
          <w:rFonts w:hint="default" w:ascii="Times New Roman" w:hAnsi="Times New Roman" w:eastAsia="宋体" w:cs="Times New Roman"/>
        </w:rPr>
      </w:pPr>
      <w:r>
        <w:rPr>
          <w:rStyle w:val="48"/>
          <w:rFonts w:hint="default" w:ascii="Times New Roman" w:hAnsi="Times New Roman" w:eastAsia="宋体" w:cs="Times New Roman"/>
        </w:rPr>
        <w:t>For each test window i: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48"/>
          <w:rFonts w:hint="default" w:ascii="Times New Roman" w:hAnsi="Times New Roman" w:eastAsia="宋体" w:cs="Times New Roman"/>
        </w:rPr>
        <w:t xml:space="preserve">  history = values[:forecast_start_i]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48"/>
          <w:rFonts w:hint="default" w:ascii="Times New Roman" w:hAnsi="Times New Roman" w:eastAsia="宋体" w:cs="Times New Roman"/>
        </w:rPr>
        <w:t xml:space="preserve">  SARIMA.fit(history) → forecast next 24h</w:t>
      </w:r>
    </w:p>
    <w:p w14:paraId="7C833B97">
      <w:pPr>
        <w:pStyle w:val="2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滚动预测使 SARIMA 的 R² 中位数从论文报告的大面积负值提升至 0.183，说明在公平评估下传统统计模型仍有竞争力。这也部分揭示了该领域论文中 DL 模型总是大幅领先统计基线的原因之一——评估框架的设计可能隐含了对 DL 模型有利的假设。</w:t>
      </w:r>
    </w:p>
    <w:p w14:paraId="30C9F99E">
      <w:pPr>
        <w:pStyle w:val="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SARIMA 相比于 LSTM/GRU 的核心优势在于可解释性。以文件 0（大流量稳定机构）为例，拟合参数为：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7"/>
        <w:gridCol w:w="936"/>
        <w:gridCol w:w="5276"/>
      </w:tblGrid>
      <w:tr w14:paraId="038779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</w:tcPr>
          <w:p w14:paraId="0A7314FC">
            <w:pPr>
              <w:pStyle w:val="24"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参数</w:t>
            </w:r>
          </w:p>
        </w:tc>
        <w:tc>
          <w:tcPr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4C2588DA">
            <w:pPr>
              <w:pStyle w:val="24"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估计值</w:t>
            </w:r>
          </w:p>
        </w:tc>
        <w:tc>
          <w:tcPr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54D406C5">
            <w:pPr>
              <w:pStyle w:val="24"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解读</w:t>
            </w:r>
          </w:p>
        </w:tc>
      </w:tr>
      <w:tr w14:paraId="6E861B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59274F9E">
            <w:pPr>
              <w:pStyle w:val="24"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AR(1)</w:t>
            </w:r>
          </w:p>
        </w:tc>
        <w:tc>
          <w:tcPr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74BE5995">
            <w:pPr>
              <w:pStyle w:val="24"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0.905</w:t>
            </w:r>
          </w:p>
        </w:tc>
        <w:tc>
          <w:tcPr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47A91E5D">
            <w:pPr>
              <w:pStyle w:val="24"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前一小时流量影响权重 90%，流量高度持续</w:t>
            </w:r>
          </w:p>
        </w:tc>
      </w:tr>
      <w:tr w14:paraId="60D5A7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07DEBF">
            <w:pPr>
              <w:pStyle w:val="24"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SAR(24)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5B1F69A">
            <w:pPr>
              <w:pStyle w:val="24"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0.988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BEBE002">
            <w:pPr>
              <w:pStyle w:val="24"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昨天同一小时影响权重 99%，日周期是最强信号</w:t>
            </w:r>
          </w:p>
        </w:tc>
      </w:tr>
      <w:tr w14:paraId="1171DB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8A0CD2C">
            <w:pPr>
              <w:pStyle w:val="24"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MA(1)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426CB5">
            <w:pPr>
              <w:pStyle w:val="24"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-0.148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AD7636F">
            <w:pPr>
              <w:pStyle w:val="24"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短期误差修正，影响较弱</w:t>
            </w:r>
          </w:p>
        </w:tc>
      </w:tr>
      <w:tr w14:paraId="5AE776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113FB0AE">
            <w:pPr>
              <w:pStyle w:val="24"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SMA(24)</w:t>
            </w:r>
          </w:p>
        </w:tc>
        <w:tc>
          <w:tcPr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336FF246">
            <w:pPr>
              <w:pStyle w:val="24"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-0.777</w:t>
            </w:r>
          </w:p>
        </w:tc>
        <w:tc>
          <w:tcPr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2F00F662">
            <w:pPr>
              <w:pStyle w:val="24"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日周期误差修正</w:t>
            </w:r>
          </w:p>
        </w:tc>
      </w:tr>
    </w:tbl>
    <w:p w14:paraId="1776CA6B">
      <w:pPr>
        <w:pStyle w:val="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SAR(24)=0.988 意味着”今天下午 3 点的流量 ≈ 昨天下午 3 点的流量 × 0.99”——这一结论与 EDA 阶段 ACF 分析中 lag=24 处峰值一致。而 LSTM/GRU 的 100 维隐藏状态无法提供这类直观解读。</w:t>
      </w:r>
    </w:p>
    <w:bookmarkEnd w:id="14"/>
    <w:p w14:paraId="3AFE6E3E">
      <w:pPr>
        <w:pStyle w:val="5"/>
        <w:rPr>
          <w:rFonts w:hint="default" w:ascii="Times New Roman" w:hAnsi="Times New Roman" w:eastAsia="宋体" w:cs="Times New Roman"/>
        </w:rPr>
      </w:pPr>
      <w:bookmarkStart w:id="15" w:name="误差原因分析"/>
      <w:r>
        <w:rPr>
          <w:rFonts w:hint="default" w:ascii="Times New Roman" w:hAnsi="Times New Roman" w:eastAsia="宋体" w:cs="Times New Roman"/>
        </w:rPr>
        <w:t>5.4 误差原因分析</w:t>
      </w:r>
    </w:p>
    <w:p w14:paraId="45A75870">
      <w:pPr>
        <w:pStyle w:val="2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模型预测误差可归结为以下几个因素：</w:t>
      </w:r>
    </w:p>
    <w:p w14:paraId="297DB482">
      <w:pPr>
        <w:pStyle w:val="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</w:rPr>
        <w:t>（1）数据层级与缺失率。</w:t>
      </w:r>
      <w:r>
        <w:rPr>
          <w:rFonts w:hint="default" w:ascii="Times New Roman" w:hAnsi="Times New Roman" w:eastAsia="宋体" w:cs="Times New Roman"/>
        </w:rPr>
        <w:t xml:space="preserve"> 机构级缺失率约 1%，归一化 RMSE 约 0.14；子网级缺失率约 4%，RMSE 升至 0.28，翻了一倍。缺失数据越多，模型可用历史信息越少，预测误差越大。论文同样发现缺失率与 R² 呈强负相关（IP 地址级 r=-0.69）。</w:t>
      </w:r>
    </w:p>
    <w:p w14:paraId="7DE3E946">
      <w:pPr>
        <w:pStyle w:val="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</w:rPr>
        <w:t>（2）流量量级与波动性。</w:t>
      </w:r>
      <w:r>
        <w:rPr>
          <w:rFonts w:hint="default" w:ascii="Times New Roman" w:hAnsi="Times New Roman" w:eastAsia="宋体" w:cs="Times New Roman"/>
        </w:rPr>
        <w:t xml:space="preserve"> 小流量机构的相对预测误差更大。以文件 264 为例，均值仅 2.5e6 字节，RMSE 却达 4.7e6，误差与信号同量级。这不是模型能力不足，而是低流量信号本就不稳定。论文也发现最不可预测的序列往往呈现突发的异常尖峰。</w:t>
      </w:r>
    </w:p>
    <w:p w14:paraId="0A8A2C08">
      <w:pPr>
        <w:pStyle w:val="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</w:rPr>
        <w:t>（3）季节性模式。</w:t>
      </w:r>
      <w:r>
        <w:rPr>
          <w:rFonts w:hint="default" w:ascii="Times New Roman" w:hAnsi="Times New Roman" w:eastAsia="宋体" w:cs="Times New Roman"/>
        </w:rPr>
        <w:t xml:space="preserve"> 具有强日周期（ACF lag=24 &gt; 0.9）的序列预测误差显著低于模式不规则的序列。SARIMA 的 SAR(24)=0.988 定量证明了日周期解释了绝大部分方差。</w:t>
      </w:r>
    </w:p>
    <w:p w14:paraId="4818C394">
      <w:pPr>
        <w:pStyle w:val="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</w:rPr>
        <w:t>（4）预测跨度。</w:t>
      </w:r>
      <w:r>
        <w:rPr>
          <w:rFonts w:hint="default" w:ascii="Times New Roman" w:hAnsi="Times New Roman" w:eastAsia="宋体" w:cs="Times New Roman"/>
        </w:rPr>
        <w:t xml:space="preserve"> (24,24) 的 R² 中位数约 0.10，(744,168) 降至 0.03-0.05。预测误差随跨度增加而累积。</w:t>
      </w:r>
    </w:p>
    <w:p w14:paraId="781BDD5F">
      <w:pPr>
        <w:pStyle w:val="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</w:rPr>
        <w:t>（5）分布漂移（见下节）。</w:t>
      </w:r>
      <w:r>
        <w:rPr>
          <w:rFonts w:hint="default" w:ascii="Times New Roman" w:hAnsi="Times New Roman" w:eastAsia="宋体" w:cs="Times New Roman"/>
        </w:rPr>
        <w:t xml:space="preserve"> 训练集（10-4 月）与测试集（6-7 月）的季节性差异导致部分序列 R² 极端负值，属于分布外推问题而非模型算法缺陷。</w:t>
      </w:r>
    </w:p>
    <w:bookmarkEnd w:id="15"/>
    <w:p w14:paraId="14631C16">
      <w:pPr>
        <w:pStyle w:val="5"/>
        <w:rPr>
          <w:rFonts w:hint="default" w:ascii="Times New Roman" w:hAnsi="Times New Roman" w:eastAsia="宋体" w:cs="Times New Roman"/>
        </w:rPr>
      </w:pPr>
      <w:bookmarkStart w:id="16" w:name="数据分布漂移问题"/>
      <w:r>
        <w:rPr>
          <w:rFonts w:hint="default" w:ascii="Times New Roman" w:hAnsi="Times New Roman" w:eastAsia="宋体" w:cs="Times New Roman"/>
        </w:rPr>
        <w:t>5.5 数据分布漂移问题</w:t>
      </w:r>
    </w:p>
    <w:p w14:paraId="6D68BC17">
      <w:pPr>
        <w:pStyle w:val="2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实验中发现部分机构级序列的 R² 出现极端负值（-10^5 ~ -10^9）。</w:t>
      </w:r>
      <w:r>
        <w:rPr>
          <w:rFonts w:hint="eastAsia" w:ascii="Times New Roman" w:hAnsi="Times New Roman" w:eastAsia="宋体" w:cs="Times New Roman"/>
          <w:lang w:val="en-US" w:eastAsia="zh-CN"/>
        </w:rPr>
        <w:t>测试</w:t>
      </w:r>
      <w:r>
        <w:rPr>
          <w:rFonts w:hint="default" w:ascii="Times New Roman" w:hAnsi="Times New Roman" w:eastAsia="宋体" w:cs="Times New Roman"/>
        </w:rPr>
        <w:t>发现，这些序列的共同特征是测试集流量均值相对训练集骤降 10</w:t>
      </w:r>
      <w:r>
        <w:rPr>
          <w:rFonts w:hint="default" w:ascii="Times New Roman" w:hAnsi="Times New Roman" w:eastAsia="宋体" w:cs="Times New Roman"/>
          <w:vertAlign w:val="superscript"/>
        </w:rPr>
        <w:t>4~10</w:t>
      </w:r>
      <w:r>
        <w:rPr>
          <w:rFonts w:hint="default" w:ascii="Times New Roman" w:hAnsi="Times New Roman" w:eastAsia="宋体" w:cs="Times New Roman"/>
        </w:rPr>
        <w:t>5 倍。以文件 243 为例：训练集（2023-10 至 2024-04）均值为 1.3×10^8 字节，测试集（2024-06 至 2024-07）均值仅为 1.0×10^3 字节——流量骤降归因于该机构在暑假期间几乎停止运作。</w:t>
      </w:r>
    </w:p>
    <w:p w14:paraId="5049F40B">
      <w:pPr>
        <w:pStyle w:val="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分布漂移对评估的影响体现在：Z-score 标准化使用训练集均值和标准差，当测试集分布与训练集完全不同时，模型预测在反标准化后仍停留在训练集尺度上，导致 RMSE 量级完全错位。更关键的是，R² 均值对这类极端异常值极其敏感——少数几条异常序列可将均值从合理范围（约 -0.5~0.5）拖至 -10</w:t>
      </w:r>
      <w:r>
        <w:rPr>
          <w:rFonts w:hint="default" w:ascii="Times New Roman" w:hAnsi="Times New Roman" w:eastAsia="宋体" w:cs="Times New Roman"/>
          <w:vertAlign w:val="superscript"/>
        </w:rPr>
        <w:t>7</w:t>
      </w:r>
      <w:r>
        <w:rPr>
          <w:rFonts w:hint="default" w:ascii="Times New Roman" w:hAnsi="Times New Roman" w:eastAsia="宋体" w:cs="Times New Roman"/>
        </w:rPr>
        <w:t xml:space="preserve"> 以下，使均值完全失去参考价值。</w:t>
      </w:r>
    </w:p>
    <w:p w14:paraId="3664E4A2">
      <w:pPr>
        <w:pStyle w:val="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针对该问题，本实验比较了三种处理方案：(A) R² 裁剪 clip(-10,1)，(B) 截断 6-7 月数据，(C) 切换 35:5:60 分割。方案 C 效果最好，采用后 R² 中位数从 0.031 提升至 0.098，极端异常从 5 条降至 2 条。但该方案是缓解而非根除——剩余的极端异常出现在流量极低的序列上。建议在实验中统一报告 R² 中位数而非均值，以降低极端值的干扰。</w:t>
      </w:r>
    </w:p>
    <w:bookmarkEnd w:id="16"/>
    <w:p w14:paraId="1AA4A073">
      <w:pPr>
        <w:pStyle w:val="5"/>
        <w:rPr>
          <w:rFonts w:hint="eastAsia" w:ascii="Times New Roman" w:hAnsi="Times New Roman" w:eastAsia="宋体" w:cs="Times New Roman"/>
          <w:lang w:val="en-US" w:eastAsia="zh-CN"/>
        </w:rPr>
      </w:pPr>
      <w:bookmarkStart w:id="17" w:name="预测可视化"/>
      <w:r>
        <w:rPr>
          <w:rFonts w:hint="default" w:ascii="Times New Roman" w:hAnsi="Times New Roman" w:eastAsia="宋体" w:cs="Times New Roman"/>
        </w:rPr>
        <w:t>5.5 预测</w:t>
      </w:r>
      <w:r>
        <w:rPr>
          <w:rFonts w:hint="eastAsia" w:ascii="Times New Roman" w:hAnsi="Times New Roman" w:eastAsia="宋体" w:cs="Times New Roman"/>
          <w:lang w:val="en-US" w:eastAsia="zh-CN"/>
        </w:rPr>
        <w:t>效果</w:t>
      </w:r>
    </w:p>
    <w:p w14:paraId="163B6F9B">
      <w:pPr>
        <w:pStyle w:val="2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以文件 0（大型机构）为例，LSTM 和 GRU 的预测曲线与实际值高度吻合（R² 约 0.60-0.73）。Mean 基线表现为一条水平直线（全局均值），完全无法捕捉流量波动。对于文件 243（强季节性机构），所有模型在测试期均表现不佳——当流量从 1×10^8 骤降至 1×10^3 量级时，任何基于历史模式学习的模型都难以适应。</w:t>
      </w:r>
    </w:p>
    <w:p w14:paraId="1FEBDD06">
      <w:pPr>
        <w:pStyle w:val="3"/>
        <w:rPr>
          <w:rFonts w:hint="default" w:ascii="Times New Roman" w:hAnsi="Times New Roman" w:eastAsia="宋体" w:cs="Times New Roman"/>
          <w:lang w:eastAsia="zh-CN"/>
        </w:rPr>
        <w:sectPr>
          <w:footnotePr>
            <w:numRestart w:val="eachSect"/>
          </w:footnotePr>
          <w:cols w:space="720" w:num="1"/>
        </w:sectPr>
      </w:pPr>
    </w:p>
    <w:p w14:paraId="1E2D2571">
      <w:pPr>
        <w:pStyle w:val="3"/>
        <w:rPr>
          <w:rFonts w:hint="default"/>
        </w:rPr>
      </w:pPr>
      <w:r>
        <w:rPr>
          <w:rFonts w:hint="default" w:ascii="Times New Roman" w:hAnsi="Times New Roman" w:eastAsia="宋体" w:cs="Times New Roman"/>
          <w:lang w:eastAsia="zh-CN"/>
        </w:rPr>
        <w:drawing>
          <wp:inline distT="0" distB="0" distL="114300" distR="114300">
            <wp:extent cx="2799080" cy="2392045"/>
            <wp:effectExtent l="0" t="0" r="7620" b="8255"/>
            <wp:docPr id="3" name="图片 3" descr="prediction_file0_a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prediction_file0_all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99080" cy="239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11"/>
    <w:bookmarkEnd w:id="17"/>
    <w:p w14:paraId="2976B10B">
      <w:pPr>
        <w:pStyle w:val="4"/>
        <w:rPr>
          <w:rFonts w:hint="default" w:ascii="Times New Roman" w:hAnsi="Times New Roman" w:eastAsia="宋体" w:cs="Times New Roman"/>
        </w:rPr>
        <w:sectPr>
          <w:footnotePr>
            <w:numRestart w:val="eachSect"/>
          </w:footnotePr>
          <w:type w:val="continuous"/>
          <w:cols w:equalWidth="0" w:num="2">
            <w:col w:w="4107" w:space="425"/>
            <w:col w:w="4107"/>
          </w:cols>
        </w:sectPr>
      </w:pPr>
      <w:bookmarkStart w:id="18" w:name="与论文结果对比"/>
      <w:r>
        <w:rPr>
          <w:rFonts w:hint="default" w:ascii="Times New Roman" w:hAnsi="Times New Roman" w:eastAsia="宋体" w:cs="Times New Roman"/>
          <w:lang w:eastAsia="zh-CN"/>
        </w:rPr>
        <w:drawing>
          <wp:inline distT="0" distB="0" distL="114300" distR="114300">
            <wp:extent cx="2792730" cy="2373630"/>
            <wp:effectExtent l="0" t="0" r="1270" b="1270"/>
            <wp:docPr id="4" name="图片 4" descr="prediction_file243_a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prediction_file243_all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92730" cy="237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851BA">
      <w:pPr>
        <w:pStyle w:val="4"/>
        <w:rPr>
          <w:rFonts w:hint="default" w:ascii="Times New Roman" w:hAnsi="Times New Roman" w:eastAsia="宋体" w:cs="Times New Roman"/>
        </w:rPr>
      </w:pPr>
    </w:p>
    <w:p w14:paraId="6BC4CB5A">
      <w:pPr>
        <w:pStyle w:val="4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5.6 与论文结果对比</w:t>
      </w:r>
    </w:p>
    <w:p w14:paraId="5F325580">
      <w:pPr>
        <w:pStyle w:val="5"/>
        <w:rPr>
          <w:rFonts w:hint="default" w:ascii="Times New Roman" w:hAnsi="Times New Roman" w:eastAsia="宋体" w:cs="Times New Roman"/>
        </w:rPr>
      </w:pPr>
      <w:bookmarkStart w:id="19" w:name="表-a归一化-rmse-对比institutions-n_bytes"/>
      <w:r>
        <w:rPr>
          <w:rFonts w:hint="default" w:ascii="Times New Roman" w:hAnsi="Times New Roman" w:eastAsia="宋体" w:cs="Times New Roman"/>
        </w:rPr>
        <w:t>表 A：归一化 RMSE 对比（institutions, n_bytes）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0"/>
        <w:gridCol w:w="1410"/>
        <w:gridCol w:w="1650"/>
        <w:gridCol w:w="3336"/>
      </w:tblGrid>
      <w:tr w14:paraId="7BAAEA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</w:tcPr>
          <w:p w14:paraId="7F02EF70">
            <w:pPr>
              <w:pStyle w:val="24"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模型</w:t>
            </w:r>
          </w:p>
        </w:tc>
        <w:tc>
          <w:tcPr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01E685EB">
            <w:pPr>
              <w:pStyle w:val="24"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论文 RMSE</w:t>
            </w:r>
          </w:p>
        </w:tc>
        <w:tc>
          <w:tcPr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59B27A00">
            <w:pPr>
              <w:pStyle w:val="24"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本实验 RMSE</w:t>
            </w:r>
          </w:p>
        </w:tc>
        <w:tc>
          <w:tcPr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3D6C8DA3">
            <w:pPr>
              <w:pStyle w:val="24"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趋势</w:t>
            </w:r>
          </w:p>
        </w:tc>
      </w:tr>
      <w:tr w14:paraId="3DD30E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6119EFF6">
            <w:pPr>
              <w:pStyle w:val="24"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Mean</w:t>
            </w:r>
          </w:p>
        </w:tc>
        <w:tc>
          <w:tcPr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77F5AFF6">
            <w:pPr>
              <w:pStyle w:val="24"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0.152</w:t>
            </w:r>
          </w:p>
        </w:tc>
        <w:tc>
          <w:tcPr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2FCF3334">
            <w:pPr>
              <w:pStyle w:val="24"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0.126</w:t>
            </w:r>
          </w:p>
        </w:tc>
        <w:tc>
          <w:tcPr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2584E376">
            <w:pPr>
              <w:pStyle w:val="24"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一致（Mean 最差）</w:t>
            </w:r>
          </w:p>
        </w:tc>
      </w:tr>
      <w:tr w14:paraId="547F3D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8DA38A">
            <w:pPr>
              <w:pStyle w:val="24"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LSTM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478969">
            <w:pPr>
              <w:pStyle w:val="24"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0.105*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A369813">
            <w:pPr>
              <w:pStyle w:val="24"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0.145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DF4542C">
            <w:pPr>
              <w:pStyle w:val="24"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一致（LSTM 优于 Mean）</w:t>
            </w:r>
          </w:p>
        </w:tc>
      </w:tr>
      <w:tr w14:paraId="3D51DB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1737C1D">
            <w:pPr>
              <w:pStyle w:val="24"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GRU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7CEADB">
            <w:pPr>
              <w:pStyle w:val="24"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0.105*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C2B21BB">
            <w:pPr>
              <w:pStyle w:val="24"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0.143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9A689B">
            <w:pPr>
              <w:pStyle w:val="24"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一致（GRU 略优于 LSTM）</w:t>
            </w:r>
          </w:p>
        </w:tc>
      </w:tr>
      <w:tr w14:paraId="0498CA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10198846">
            <w:pPr>
              <w:pStyle w:val="24"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SARIMA</w:t>
            </w:r>
          </w:p>
        </w:tc>
        <w:tc>
          <w:tcPr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396A7670">
            <w:pPr>
              <w:pStyle w:val="24"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0.151</w:t>
            </w:r>
          </w:p>
        </w:tc>
        <w:tc>
          <w:tcPr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40CCC735">
            <w:pPr>
              <w:pStyle w:val="24"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</w:rPr>
              <w:t>0.068</w:t>
            </w:r>
          </w:p>
        </w:tc>
        <w:tc>
          <w:tcPr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76080965">
            <w:pPr>
              <w:pStyle w:val="24"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本实验显著更优（滚动预测）</w:t>
            </w:r>
          </w:p>
        </w:tc>
      </w:tr>
    </w:tbl>
    <w:p w14:paraId="71D5D308">
      <w:pPr>
        <w:pStyle w:val="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*论文为 (24,1) 窗口，本实验为 (24,24)。SARIMA 论文为固定预测，本实验为滚动预测。</w:t>
      </w:r>
    </w:p>
    <w:bookmarkEnd w:id="19"/>
    <w:p w14:paraId="69691B6D">
      <w:pPr>
        <w:pStyle w:val="5"/>
        <w:rPr>
          <w:rFonts w:hint="default" w:ascii="Times New Roman" w:hAnsi="Times New Roman" w:eastAsia="宋体" w:cs="Times New Roman"/>
        </w:rPr>
      </w:pPr>
      <w:bookmarkStart w:id="20" w:name="表-br2-对比"/>
      <w:r>
        <w:rPr>
          <w:rFonts w:hint="default" w:ascii="Times New Roman" w:hAnsi="Times New Roman" w:eastAsia="宋体" w:cs="Times New Roman"/>
        </w:rPr>
        <w:t>表 B：R2 对比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0"/>
        <w:gridCol w:w="2237"/>
        <w:gridCol w:w="2057"/>
        <w:gridCol w:w="3096"/>
      </w:tblGrid>
      <w:tr w14:paraId="3C6E56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</w:tcPr>
          <w:p w14:paraId="2C7BC4B7">
            <w:pPr>
              <w:pStyle w:val="24"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模型</w:t>
            </w:r>
          </w:p>
        </w:tc>
        <w:tc>
          <w:tcPr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2C161954">
            <w:pPr>
              <w:pStyle w:val="24"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论文 R2（全窗口）</w:t>
            </w:r>
          </w:p>
        </w:tc>
        <w:tc>
          <w:tcPr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467EE4E1">
            <w:pPr>
              <w:pStyle w:val="24"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本实验 R2 中位数</w:t>
            </w:r>
          </w:p>
        </w:tc>
        <w:tc>
          <w:tcPr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7D088602">
            <w:pPr>
              <w:pStyle w:val="24"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趋势</w:t>
            </w:r>
          </w:p>
        </w:tc>
      </w:tr>
      <w:tr w14:paraId="5D429B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328586FD">
            <w:pPr>
              <w:pStyle w:val="24"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Mean</w:t>
            </w:r>
          </w:p>
        </w:tc>
        <w:tc>
          <w:tcPr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6C7ECC10">
            <w:pPr>
              <w:pStyle w:val="24"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0.032</w:t>
            </w:r>
          </w:p>
        </w:tc>
        <w:tc>
          <w:tcPr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22896B99">
            <w:pPr>
              <w:pStyle w:val="24"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-0.004</w:t>
            </w:r>
          </w:p>
        </w:tc>
        <w:tc>
          <w:tcPr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0BFFA483">
            <w:pPr>
              <w:pStyle w:val="24"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分割比例不同</w:t>
            </w:r>
          </w:p>
        </w:tc>
      </w:tr>
      <w:tr w14:paraId="088144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0E2191">
            <w:pPr>
              <w:pStyle w:val="24"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LSTM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686871C">
            <w:pPr>
              <w:pStyle w:val="24"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-0.007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7F6B09B">
            <w:pPr>
              <w:pStyle w:val="24"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0.113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26899BB">
            <w:pPr>
              <w:pStyle w:val="24"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本实验显著更优</w:t>
            </w:r>
          </w:p>
        </w:tc>
      </w:tr>
      <w:tr w14:paraId="4D264A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DC802B">
            <w:pPr>
              <w:pStyle w:val="24"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GRU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3796BBA">
            <w:pPr>
              <w:pStyle w:val="24"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-0.003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CB8D03">
            <w:pPr>
              <w:pStyle w:val="24"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0.136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CA5217">
            <w:pPr>
              <w:pStyle w:val="24"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本实验显著更优</w:t>
            </w:r>
          </w:p>
        </w:tc>
      </w:tr>
      <w:tr w14:paraId="567EA2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7A24ED28">
            <w:pPr>
              <w:pStyle w:val="24"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SARIMA</w:t>
            </w:r>
          </w:p>
        </w:tc>
        <w:tc>
          <w:tcPr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1791F5B3">
            <w:pPr>
              <w:pStyle w:val="24"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-10.831</w:t>
            </w:r>
          </w:p>
        </w:tc>
        <w:tc>
          <w:tcPr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0590EA4D">
            <w:pPr>
              <w:pStyle w:val="24"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</w:rPr>
              <w:t>0.170</w:t>
            </w:r>
          </w:p>
        </w:tc>
        <w:tc>
          <w:tcPr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3BAB6BBA">
            <w:pPr>
              <w:pStyle w:val="24"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本实验滚动预测后大幅提升</w:t>
            </w:r>
          </w:p>
        </w:tc>
      </w:tr>
      <w:bookmarkEnd w:id="20"/>
    </w:tbl>
    <w:p w14:paraId="10F1424B">
      <w:pPr>
        <w:pStyle w:val="5"/>
        <w:rPr>
          <w:rFonts w:hint="default" w:ascii="Times New Roman" w:hAnsi="Times New Roman" w:eastAsia="宋体" w:cs="Times New Roman"/>
        </w:rPr>
      </w:pPr>
      <w:bookmarkStart w:id="21" w:name="表-charmonic-score-对比"/>
      <w:r>
        <w:rPr>
          <w:rFonts w:hint="default" w:ascii="Times New Roman" w:hAnsi="Times New Roman" w:eastAsia="宋体" w:cs="Times New Roman"/>
        </w:rPr>
        <w:t>表 C：Harmonic Score 对比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0"/>
        <w:gridCol w:w="1063"/>
        <w:gridCol w:w="1303"/>
        <w:gridCol w:w="3576"/>
      </w:tblGrid>
      <w:tr w14:paraId="228278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</w:tcPr>
          <w:p w14:paraId="10DD52CB">
            <w:pPr>
              <w:pStyle w:val="24"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模型</w:t>
            </w:r>
          </w:p>
        </w:tc>
        <w:tc>
          <w:tcPr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6381471C">
            <w:pPr>
              <w:pStyle w:val="24"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论文 HS</w:t>
            </w:r>
          </w:p>
        </w:tc>
        <w:tc>
          <w:tcPr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02199496">
            <w:pPr>
              <w:pStyle w:val="24"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本实验 HS</w:t>
            </w:r>
          </w:p>
        </w:tc>
        <w:tc>
          <w:tcPr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76315BF1">
            <w:pPr>
              <w:pStyle w:val="24"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趋势</w:t>
            </w:r>
          </w:p>
        </w:tc>
      </w:tr>
      <w:tr w14:paraId="26A173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5FDBAD0B">
            <w:pPr>
              <w:pStyle w:val="24"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Mean</w:t>
            </w:r>
          </w:p>
        </w:tc>
        <w:tc>
          <w:tcPr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0495FFDF">
            <w:pPr>
              <w:pStyle w:val="24"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0.153</w:t>
            </w:r>
          </w:p>
        </w:tc>
        <w:tc>
          <w:tcPr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012A3F31">
            <w:pPr>
              <w:pStyle w:val="24"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0.142</w:t>
            </w:r>
          </w:p>
        </w:tc>
        <w:tc>
          <w:tcPr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58F2A5B3">
            <w:pPr>
              <w:pStyle w:val="24"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一致</w:t>
            </w:r>
          </w:p>
        </w:tc>
      </w:tr>
      <w:tr w14:paraId="15C9B3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01CC80E">
            <w:pPr>
              <w:pStyle w:val="24"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LSTM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A95D8F">
            <w:pPr>
              <w:pStyle w:val="24"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0.139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45C725">
            <w:pPr>
              <w:pStyle w:val="24"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0.147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EDCBA93">
            <w:pPr>
              <w:pStyle w:val="24"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一致（LSTM approx GRU）</w:t>
            </w:r>
          </w:p>
        </w:tc>
      </w:tr>
      <w:tr w14:paraId="66C7C9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A8D0EB2">
            <w:pPr>
              <w:pStyle w:val="24"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GRU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6092C2">
            <w:pPr>
              <w:pStyle w:val="24"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0.139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0B51F01">
            <w:pPr>
              <w:pStyle w:val="24"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0.150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D4D513">
            <w:pPr>
              <w:pStyle w:val="24"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一致（GRU 略优）</w:t>
            </w:r>
          </w:p>
        </w:tc>
      </w:tr>
      <w:tr w14:paraId="16BC74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569DA9B9">
            <w:pPr>
              <w:pStyle w:val="24"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SARIMA</w:t>
            </w:r>
          </w:p>
        </w:tc>
        <w:tc>
          <w:tcPr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5B07EC8E">
            <w:pPr>
              <w:pStyle w:val="24"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0.239</w:t>
            </w:r>
          </w:p>
        </w:tc>
        <w:tc>
          <w:tcPr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59049D1A">
            <w:pPr>
              <w:pStyle w:val="24"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</w:rPr>
              <w:t>0.119</w:t>
            </w:r>
          </w:p>
        </w:tc>
        <w:tc>
          <w:tcPr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4F23325E">
            <w:pPr>
              <w:pStyle w:val="24"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本实验滚动预测后大幅优于论文</w:t>
            </w:r>
          </w:p>
        </w:tc>
      </w:tr>
      <w:bookmarkEnd w:id="21"/>
    </w:tbl>
    <w:p w14:paraId="0F0152A4">
      <w:pPr>
        <w:pStyle w:val="5"/>
        <w:rPr>
          <w:rFonts w:hint="default" w:ascii="Times New Roman" w:hAnsi="Times New Roman" w:eastAsia="宋体" w:cs="Times New Roman"/>
        </w:rPr>
      </w:pPr>
      <w:bookmarkStart w:id="22" w:name="关键发现"/>
      <w:r>
        <w:rPr>
          <w:rFonts w:hint="default" w:ascii="Times New Roman" w:hAnsi="Times New Roman" w:eastAsia="宋体" w:cs="Times New Roman"/>
        </w:rPr>
        <w:t>关键发现</w:t>
      </w:r>
    </w:p>
    <w:p w14:paraId="57F99BC9">
      <w:pPr>
        <w:pStyle w:val="24"/>
        <w:numPr>
          <w:ilvl w:val="0"/>
          <w:numId w:val="2"/>
        </w:num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相对排序一致：GRU &gt; LSTM &gt; Mean，与论文趋势相同。</w:t>
      </w:r>
    </w:p>
    <w:p w14:paraId="46DE1352">
      <w:pPr>
        <w:pStyle w:val="24"/>
        <w:numPr>
          <w:ilvl w:val="0"/>
          <w:numId w:val="2"/>
        </w:num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本实验 LSTM/GRU 优于论文参考代码（论文 LSTM R2 中位数为 -0.007，本实验 0.11-0.14），因论文使用 tsai/fastai 库效果不佳。</w:t>
      </w:r>
    </w:p>
    <w:p w14:paraId="0E0CB057">
      <w:pPr>
        <w:pStyle w:val="24"/>
        <w:numPr>
          <w:ilvl w:val="0"/>
          <w:numId w:val="2"/>
        </w:num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SARIMA 差异：论文报告 SARIMA 最差，本实验滚动预测下 SARIMA R2 达 0.183。</w:t>
      </w:r>
    </w:p>
    <w:bookmarkEnd w:id="18"/>
    <w:bookmarkEnd w:id="22"/>
    <w:p w14:paraId="1A47710E">
      <w:pPr>
        <w:pStyle w:val="4"/>
        <w:rPr>
          <w:rFonts w:hint="default" w:ascii="Times New Roman" w:hAnsi="Times New Roman" w:eastAsia="宋体" w:cs="Times New Roman"/>
        </w:rPr>
      </w:pPr>
      <w:bookmarkStart w:id="23" w:name="总结与展望"/>
      <w:r>
        <w:rPr>
          <w:rFonts w:hint="default" w:ascii="Times New Roman" w:hAnsi="Times New Roman" w:eastAsia="宋体" w:cs="Times New Roman"/>
        </w:rPr>
        <w:t>6. 总结与展望</w:t>
      </w:r>
    </w:p>
    <w:p w14:paraId="1E851189">
      <w:pPr>
        <w:pStyle w:val="5"/>
        <w:rPr>
          <w:rFonts w:hint="default" w:ascii="Times New Roman" w:hAnsi="Times New Roman" w:eastAsia="宋体" w:cs="Times New Roman"/>
        </w:rPr>
      </w:pPr>
      <w:bookmarkStart w:id="24" w:name="主要发现"/>
      <w:r>
        <w:rPr>
          <w:rFonts w:hint="default" w:ascii="Times New Roman" w:hAnsi="Times New Roman" w:eastAsia="宋体" w:cs="Times New Roman"/>
        </w:rPr>
        <w:t>主要发现</w:t>
      </w:r>
    </w:p>
    <w:p w14:paraId="2CD23354">
      <w:pPr>
        <w:pStyle w:val="24"/>
        <w:numPr>
          <w:ilvl w:val="0"/>
          <w:numId w:val="3"/>
        </w:num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</w:rPr>
        <w:t>GRU 与 LSTM 表现接近</w:t>
      </w:r>
      <w:r>
        <w:rPr>
          <w:rFonts w:hint="default" w:ascii="Times New Roman" w:hAnsi="Times New Roman" w:eastAsia="宋体" w:cs="Times New Roman"/>
        </w:rPr>
        <w:t>，R² 中位数约 0.12-0.15，GRU 以更少的参数实现略优的效果，与论文结论一致。</w:t>
      </w:r>
    </w:p>
    <w:p w14:paraId="3DAA3528">
      <w:pPr>
        <w:pStyle w:val="24"/>
        <w:numPr>
          <w:ilvl w:val="0"/>
          <w:numId w:val="3"/>
        </w:num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</w:rPr>
        <w:t>SARIMA 在滚动预测下反超 DL 模型</w:t>
      </w:r>
      <w:r>
        <w:rPr>
          <w:rFonts w:hint="default" w:ascii="Times New Roman" w:hAnsi="Times New Roman" w:eastAsia="宋体" w:cs="Times New Roman"/>
        </w:rPr>
        <w:t>（R² 中位数 0.183），挑战了”统计模型远不如 DL”的原论文结论，揭示了评估方法的深刻影响。</w:t>
      </w:r>
    </w:p>
    <w:p w14:paraId="45042CC8">
      <w:pPr>
        <w:pStyle w:val="24"/>
        <w:numPr>
          <w:ilvl w:val="0"/>
          <w:numId w:val="3"/>
        </w:num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</w:rPr>
        <w:t>短期预测优于长期预测</w:t>
      </w:r>
      <w:r>
        <w:rPr>
          <w:rFonts w:hint="default" w:ascii="Times New Roman" w:hAnsi="Times New Roman" w:eastAsia="宋体" w:cs="Times New Roman"/>
        </w:rPr>
        <w:t>，R² 随预测跨度增大衰减超 50%，说明长时间跨度的可预测性有限。</w:t>
      </w:r>
    </w:p>
    <w:p w14:paraId="73C998E6">
      <w:pPr>
        <w:pStyle w:val="24"/>
        <w:numPr>
          <w:ilvl w:val="0"/>
          <w:numId w:val="3"/>
        </w:num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</w:rPr>
        <w:t>分布漂移是真实 ISP 数据的重要挑战</w:t>
      </w:r>
      <w:r>
        <w:rPr>
          <w:rFonts w:hint="default" w:ascii="Times New Roman" w:hAnsi="Times New Roman" w:eastAsia="宋体" w:cs="Times New Roman"/>
        </w:rPr>
        <w:t>，评估时建议以中位数替代均值。</w:t>
      </w:r>
    </w:p>
    <w:bookmarkEnd w:id="24"/>
    <w:p w14:paraId="4CBDF881">
      <w:pPr>
        <w:pStyle w:val="5"/>
        <w:rPr>
          <w:rFonts w:hint="default" w:ascii="Times New Roman" w:hAnsi="Times New Roman" w:eastAsia="宋体" w:cs="Times New Roman"/>
        </w:rPr>
      </w:pPr>
      <w:bookmarkStart w:id="25" w:name="局限性"/>
      <w:r>
        <w:rPr>
          <w:rFonts w:hint="default" w:ascii="Times New Roman" w:hAnsi="Times New Roman" w:eastAsia="宋体" w:cs="Times New Roman"/>
        </w:rPr>
        <w:t>局限性</w:t>
      </w:r>
    </w:p>
    <w:p w14:paraId="2F879F86">
      <w:pPr>
        <w:pStyle w:val="2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本实验仅覆盖机构级 n_bytes，未对全部 18 个指标和三级数据进行全面实验；SARIMA 滚动预测仅运行 10 个测试窗口，与 LSTM/GRU 的 168 个窗口的对比存在样本量差异；超参数使用论文默认值，未系统搜索。</w:t>
      </w:r>
    </w:p>
    <w:bookmarkEnd w:id="25"/>
    <w:p w14:paraId="02C6DD87">
      <w:pPr>
        <w:pStyle w:val="5"/>
        <w:rPr>
          <w:rFonts w:hint="default" w:ascii="Times New Roman" w:hAnsi="Times New Roman" w:eastAsia="宋体" w:cs="Times New Roman"/>
        </w:rPr>
      </w:pPr>
      <w:bookmarkStart w:id="26" w:name="改进方向"/>
      <w:r>
        <w:rPr>
          <w:rFonts w:hint="default" w:ascii="Times New Roman" w:hAnsi="Times New Roman" w:eastAsia="宋体" w:cs="Times New Roman"/>
        </w:rPr>
        <w:t>改进方向</w:t>
      </w:r>
    </w:p>
    <w:p w14:paraId="091F5581">
      <w:pPr>
        <w:pStyle w:val="24"/>
        <w:numPr>
          <w:ilvl w:val="0"/>
          <w:numId w:val="1"/>
        </w:num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</w:rPr>
        <w:t>可解释性</w:t>
      </w:r>
      <w:r>
        <w:rPr>
          <w:rFonts w:hint="default" w:ascii="Times New Roman" w:hAnsi="Times New Roman" w:eastAsia="宋体" w:cs="Times New Roman"/>
        </w:rPr>
        <w:t>：对 LSTM/GRU 进行 SHAP 值分析，理解时间步的重要性模式</w:t>
      </w:r>
    </w:p>
    <w:p w14:paraId="6F40EED1">
      <w:pPr>
        <w:pStyle w:val="24"/>
        <w:numPr>
          <w:ilvl w:val="0"/>
          <w:numId w:val="1"/>
        </w:num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</w:rPr>
        <w:t>多变量联合预测</w:t>
      </w:r>
      <w:r>
        <w:rPr>
          <w:rFonts w:hint="default" w:ascii="Times New Roman" w:hAnsi="Times New Roman" w:eastAsia="宋体" w:cs="Times New Roman"/>
        </w:rPr>
        <w:t>：利用 n_bytes/n_flows/n_packets 等多变量信息</w:t>
      </w:r>
    </w:p>
    <w:p w14:paraId="4E2EC426">
      <w:pPr>
        <w:pStyle w:val="24"/>
        <w:numPr>
          <w:ilvl w:val="0"/>
          <w:numId w:val="1"/>
        </w:num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</w:rPr>
        <w:t>分布漂移自适应</w:t>
      </w:r>
      <w:r>
        <w:rPr>
          <w:rFonts w:hint="default" w:ascii="Times New Roman" w:hAnsi="Times New Roman" w:eastAsia="宋体" w:cs="Times New Roman"/>
        </w:rPr>
        <w:t>：显式检测和适应概念漂移的预测方法</w:t>
      </w:r>
    </w:p>
    <w:bookmarkEnd w:id="23"/>
    <w:bookmarkEnd w:id="26"/>
    <w:p w14:paraId="2C9EF42B">
      <w:pPr>
        <w:pStyle w:val="4"/>
        <w:rPr>
          <w:rFonts w:hint="default" w:ascii="Times New Roman" w:hAnsi="Times New Roman" w:eastAsia="宋体" w:cs="Times New Roman"/>
        </w:rPr>
      </w:pPr>
      <w:bookmarkStart w:id="27" w:name="参考文献"/>
      <w:r>
        <w:rPr>
          <w:rFonts w:hint="default" w:ascii="Times New Roman" w:hAnsi="Times New Roman" w:eastAsia="宋体" w:cs="Times New Roman"/>
        </w:rPr>
        <w:t>参考文献</w:t>
      </w:r>
    </w:p>
    <w:p w14:paraId="32D4AE90">
      <w:pPr>
        <w:pStyle w:val="3"/>
        <w:numPr>
          <w:ilvl w:val="0"/>
          <w:numId w:val="4"/>
        </w:numPr>
        <w:rPr>
          <w:rFonts w:hint="default" w:ascii="Times New Roman" w:hAnsi="Times New Roman" w:eastAsia="宋体" w:cs="Times New Roman"/>
          <w:i w:val="0"/>
          <w:iCs w:val="0"/>
          <w:caps w:val="0"/>
          <w:color w:val="3B3B3B"/>
          <w:spacing w:val="0"/>
          <w:sz w:val="22"/>
          <w:szCs w:val="22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3B3B3B"/>
          <w:spacing w:val="0"/>
          <w:sz w:val="22"/>
          <w:szCs w:val="22"/>
        </w:rPr>
        <w:t xml:space="preserve">Koumar, J., et al. "Comparative Analysis of Deep Learning Models for Real-World ISP Network Traffic Forecasting." IEEE TNSM, 2026. </w:t>
      </w:r>
    </w:p>
    <w:p w14:paraId="3C670D50">
      <w:pPr>
        <w:pStyle w:val="3"/>
        <w:numPr>
          <w:ilvl w:val="0"/>
          <w:numId w:val="4"/>
        </w:numPr>
        <w:ind w:left="0" w:leftChars="0" w:firstLine="0" w:firstLineChars="0"/>
        <w:rPr>
          <w:rFonts w:hint="default" w:ascii="Times New Roman" w:hAnsi="Times New Roman" w:eastAsia="宋体" w:cs="Times New Roman"/>
          <w:i w:val="0"/>
          <w:iCs w:val="0"/>
          <w:caps w:val="0"/>
          <w:color w:val="3B3B3B"/>
          <w:spacing w:val="0"/>
          <w:sz w:val="22"/>
          <w:szCs w:val="22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3B3B3B"/>
          <w:spacing w:val="0"/>
          <w:sz w:val="22"/>
          <w:szCs w:val="22"/>
        </w:rPr>
        <w:t xml:space="preserve">Koumar, J., et al. "CESNET-TimeSeries24: Time Series Dataset for Network Traffic Anomaly Detection and Forecasting." Nature Scientific Data, 2025. </w:t>
      </w:r>
    </w:p>
    <w:p w14:paraId="5962D823">
      <w:pPr>
        <w:pStyle w:val="3"/>
        <w:numPr>
          <w:ilvl w:val="0"/>
          <w:numId w:val="4"/>
        </w:numPr>
        <w:ind w:left="0" w:leftChars="0" w:firstLine="0" w:firstLineChars="0"/>
        <w:rPr>
          <w:rFonts w:hint="default" w:ascii="Times New Roman" w:hAnsi="Times New Roman" w:eastAsia="宋体" w:cs="Times New Roman"/>
          <w:i w:val="0"/>
          <w:iCs w:val="0"/>
          <w:caps w:val="0"/>
          <w:color w:val="3B3B3B"/>
          <w:spacing w:val="0"/>
          <w:sz w:val="22"/>
          <w:szCs w:val="22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3B3B3B"/>
          <w:spacing w:val="0"/>
          <w:sz w:val="22"/>
          <w:szCs w:val="22"/>
        </w:rPr>
        <w:t xml:space="preserve">Hochreiter, S. &amp; Schmidhuber, J. "Long Short-Term Memory." Neural Computation, 1997. </w:t>
      </w:r>
    </w:p>
    <w:p w14:paraId="56826F64">
      <w:pPr>
        <w:pStyle w:val="3"/>
        <w:numPr>
          <w:ilvl w:val="0"/>
          <w:numId w:val="4"/>
        </w:numPr>
        <w:ind w:left="0" w:leftChars="0" w:firstLine="0" w:firstLineChars="0"/>
        <w:rPr>
          <w:rFonts w:hint="default" w:ascii="Times New Roman" w:hAnsi="Times New Roman" w:eastAsia="宋体" w:cs="Times New Roman"/>
          <w:i w:val="0"/>
          <w:iCs w:val="0"/>
          <w:caps w:val="0"/>
          <w:color w:val="3B3B3B"/>
          <w:spacing w:val="0"/>
          <w:sz w:val="22"/>
          <w:szCs w:val="22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3B3B3B"/>
          <w:spacing w:val="0"/>
          <w:sz w:val="22"/>
          <w:szCs w:val="22"/>
        </w:rPr>
        <w:t xml:space="preserve">Cho, K., et al. "Learning Phrase Representations using RNN Encoder-Decoder for Statistical Machine Translation." EMNLP, 2014. </w:t>
      </w:r>
    </w:p>
    <w:p w14:paraId="1A88F0BC">
      <w:pPr>
        <w:pStyle w:val="3"/>
        <w:numPr>
          <w:ilvl w:val="0"/>
          <w:numId w:val="4"/>
        </w:numPr>
        <w:ind w:left="0" w:leftChars="0" w:firstLine="0" w:firstLineChars="0"/>
        <w:rPr>
          <w:rFonts w:hint="default" w:ascii="Times New Roman" w:hAnsi="Times New Roman" w:eastAsia="宋体" w:cs="Times New Roman"/>
          <w:i w:val="0"/>
          <w:iCs w:val="0"/>
          <w:caps w:val="0"/>
          <w:color w:val="3B3B3B"/>
          <w:spacing w:val="0"/>
          <w:sz w:val="22"/>
          <w:szCs w:val="22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3B3B3B"/>
          <w:spacing w:val="0"/>
          <w:sz w:val="22"/>
          <w:szCs w:val="22"/>
        </w:rPr>
        <w:t xml:space="preserve">Box, G. E. P., Jenkins, G. M., Reinsel, G. C., &amp; Ljung, G. M. "Time Series Analysis: Forecasting and Control." 5th Edition, Wiley, 2015. </w:t>
      </w:r>
    </w:p>
    <w:p w14:paraId="79BEF6B4">
      <w:pPr>
        <w:pStyle w:val="3"/>
        <w:numPr>
          <w:ilvl w:val="0"/>
          <w:numId w:val="4"/>
        </w:numPr>
        <w:ind w:left="0" w:leftChars="0" w:firstLine="0" w:firstLineChars="0"/>
        <w:rPr>
          <w:rFonts w:hint="default" w:ascii="Times New Roman" w:hAnsi="Times New Roman" w:eastAsia="宋体" w:cs="Times New Roman"/>
          <w:i w:val="0"/>
          <w:iCs w:val="0"/>
          <w:caps w:val="0"/>
          <w:color w:val="3B3B3B"/>
          <w:spacing w:val="0"/>
          <w:sz w:val="22"/>
          <w:szCs w:val="22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3B3B3B"/>
          <w:spacing w:val="0"/>
          <w:sz w:val="22"/>
          <w:szCs w:val="22"/>
        </w:rPr>
        <w:t xml:space="preserve">Hyndman, R. J. &amp; Athanasopoulos, G. "Forecasting: Principles and Practice." 3rd Edition, OTexts, 2021. </w:t>
      </w:r>
    </w:p>
    <w:p w14:paraId="24EBE804">
      <w:pPr>
        <w:pStyle w:val="3"/>
        <w:numPr>
          <w:ilvl w:val="0"/>
          <w:numId w:val="4"/>
        </w:numPr>
        <w:ind w:left="0" w:leftChars="0" w:firstLine="0" w:firstLineChars="0"/>
        <w:rPr>
          <w:rFonts w:hint="default" w:ascii="Times New Roman" w:hAnsi="Times New Roman" w:eastAsia="宋体" w:cs="Times New Roman"/>
          <w:i w:val="0"/>
          <w:iCs w:val="0"/>
          <w:caps w:val="0"/>
          <w:color w:val="3B3B3B"/>
          <w:spacing w:val="0"/>
          <w:sz w:val="22"/>
          <w:szCs w:val="22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3B3B3B"/>
          <w:spacing w:val="0"/>
          <w:sz w:val="22"/>
          <w:szCs w:val="22"/>
        </w:rPr>
        <w:t xml:space="preserve">Ferreira, G. O., et al. "Forecasting Network Traffic: A Survey and Tutorial." IEEE Access, 2023. </w:t>
      </w:r>
    </w:p>
    <w:p w14:paraId="329A0677">
      <w:pPr>
        <w:pStyle w:val="3"/>
        <w:numPr>
          <w:numId w:val="0"/>
        </w:numPr>
        <w:ind w:leftChars="0"/>
        <w:rPr>
          <w:rFonts w:hint="default" w:ascii="Times New Roman" w:hAnsi="Times New Roman" w:eastAsia="宋体" w:cs="Times New Roman"/>
          <w:sz w:val="48"/>
          <w:szCs w:val="4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3B3B3B"/>
          <w:spacing w:val="0"/>
          <w:sz w:val="22"/>
          <w:szCs w:val="22"/>
        </w:rPr>
        <w:t>[8] D'Alconzo, A., et al. "A Survey on Big Data for Network Traffic Monitoring and Analysis." IEEE TNSM, 2019.</w:t>
      </w:r>
    </w:p>
    <w:bookmarkEnd w:id="0"/>
    <w:bookmarkEnd w:id="27"/>
    <w:sectPr>
      <w:footnotePr>
        <w:numRestart w:val="eachSect"/>
      </w:footnotePr>
      <w:type w:val="continuous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UI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UI Variable Display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1CBAEDD"/>
    <w:multiLevelType w:val="singleLevel"/>
    <w:tmpl w:val="F1CBAEDD"/>
    <w:lvl w:ilvl="0" w:tentative="0">
      <w:start w:val="1"/>
      <w:numFmt w:val="decimal"/>
      <w:suff w:val="space"/>
      <w:lvlText w:val="[%1]"/>
      <w:lvlJc w:val="left"/>
    </w:lvl>
  </w:abstractNum>
  <w:abstractNum w:abstractNumId="1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2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numRestart w:val="eachSect"/>
    <w:footnote w:id="0"/>
    <w:footnote w:id="1"/>
  </w:footnotePr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000000"/>
    <w:rsid w:val="08826E3F"/>
    <w:rsid w:val="30670A02"/>
    <w:rsid w:val="3B025EF0"/>
    <w:rsid w:val="528E32F3"/>
    <w:rsid w:val="79D4006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qFormat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2"/>
    <w:uiPriority w:val="0"/>
    <w:pPr>
      <w:keepNext/>
    </w:pPr>
  </w:style>
  <w:style w:type="paragraph" w:customStyle="1" w:styleId="45">
    <w:name w:val="Image Caption"/>
    <w:basedOn w:val="12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21"/>
    <w:link w:val="49"/>
    <w:qFormat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wordWrap w:val="0"/>
    </w:pPr>
  </w:style>
  <w:style w:type="character" w:customStyle="1" w:styleId="50">
    <w:name w:val="Section Number"/>
    <w:basedOn w:val="21"/>
    <w:qFormat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007020"/>
    </w:rPr>
  </w:style>
  <w:style w:type="character" w:customStyle="1" w:styleId="53">
    <w:name w:val="DataTypeTok"/>
    <w:basedOn w:val="48"/>
    <w:qFormat/>
    <w:uiPriority w:val="0"/>
    <w:rPr>
      <w:color w:val="902000"/>
    </w:rPr>
  </w:style>
  <w:style w:type="character" w:customStyle="1" w:styleId="54">
    <w:name w:val="DecValTok"/>
    <w:basedOn w:val="48"/>
    <w:qFormat/>
    <w:uiPriority w:val="0"/>
    <w:rPr>
      <w:color w:val="40A070"/>
    </w:rPr>
  </w:style>
  <w:style w:type="character" w:customStyle="1" w:styleId="55">
    <w:name w:val="BaseNTok"/>
    <w:basedOn w:val="48"/>
    <w:qFormat/>
    <w:uiPriority w:val="0"/>
    <w:rPr>
      <w:color w:val="40A070"/>
    </w:rPr>
  </w:style>
  <w:style w:type="character" w:customStyle="1" w:styleId="56">
    <w:name w:val="FloatTok"/>
    <w:basedOn w:val="48"/>
    <w:qFormat/>
    <w:uiPriority w:val="0"/>
    <w:rPr>
      <w:color w:val="40A070"/>
    </w:rPr>
  </w:style>
  <w:style w:type="character" w:customStyle="1" w:styleId="57">
    <w:name w:val="ConstantTok"/>
    <w:basedOn w:val="48"/>
    <w:qFormat/>
    <w:uiPriority w:val="0"/>
    <w:rPr>
      <w:color w:val="880000"/>
    </w:rPr>
  </w:style>
  <w:style w:type="character" w:customStyle="1" w:styleId="58">
    <w:name w:val="CharTok"/>
    <w:basedOn w:val="48"/>
    <w:qFormat/>
    <w:uiPriority w:val="0"/>
    <w:rPr>
      <w:color w:val="4070A0"/>
    </w:rPr>
  </w:style>
  <w:style w:type="character" w:customStyle="1" w:styleId="59">
    <w:name w:val="SpecialCharTok"/>
    <w:basedOn w:val="48"/>
    <w:qFormat/>
    <w:uiPriority w:val="0"/>
    <w:rPr>
      <w:color w:val="4070A0"/>
    </w:rPr>
  </w:style>
  <w:style w:type="character" w:customStyle="1" w:styleId="60">
    <w:name w:val="StringTok"/>
    <w:basedOn w:val="48"/>
    <w:qFormat/>
    <w:uiPriority w:val="0"/>
    <w:rPr>
      <w:color w:val="4070A0"/>
    </w:rPr>
  </w:style>
  <w:style w:type="character" w:customStyle="1" w:styleId="61">
    <w:name w:val="VerbatimStringTok"/>
    <w:basedOn w:val="48"/>
    <w:qFormat/>
    <w:uiPriority w:val="0"/>
    <w:rPr>
      <w:color w:val="4070A0"/>
    </w:rPr>
  </w:style>
  <w:style w:type="character" w:customStyle="1" w:styleId="62">
    <w:name w:val="SpecialStringTok"/>
    <w:basedOn w:val="48"/>
    <w:qFormat/>
    <w:uiPriority w:val="0"/>
    <w:rPr>
      <w:color w:val="BB6688"/>
    </w:rPr>
  </w:style>
  <w:style w:type="character" w:customStyle="1" w:styleId="63">
    <w:name w:val="ImportTok"/>
    <w:basedOn w:val="48"/>
    <w:qFormat/>
    <w:uiPriority w:val="0"/>
    <w:rPr>
      <w:b/>
      <w:color w:val="008000"/>
    </w:rPr>
  </w:style>
  <w:style w:type="character" w:customStyle="1" w:styleId="64">
    <w:name w:val="CommentTok"/>
    <w:basedOn w:val="48"/>
    <w:qFormat/>
    <w:uiPriority w:val="0"/>
    <w:rPr>
      <w:i/>
      <w:color w:val="60A0B0"/>
    </w:rPr>
  </w:style>
  <w:style w:type="character" w:customStyle="1" w:styleId="65">
    <w:name w:val="DocumentationTok"/>
    <w:basedOn w:val="48"/>
    <w:qFormat/>
    <w:uiPriority w:val="0"/>
    <w:rPr>
      <w:i/>
      <w:color w:val="BA2121"/>
    </w:rPr>
  </w:style>
  <w:style w:type="character" w:customStyle="1" w:styleId="66">
    <w:name w:val="AnnotationTok"/>
    <w:basedOn w:val="48"/>
    <w:qFormat/>
    <w:uiPriority w:val="0"/>
    <w:rPr>
      <w:b/>
      <w:i/>
      <w:color w:val="60A0B0"/>
    </w:rPr>
  </w:style>
  <w:style w:type="character" w:customStyle="1" w:styleId="67">
    <w:name w:val="CommentVarTok"/>
    <w:basedOn w:val="48"/>
    <w:qFormat/>
    <w:uiPriority w:val="0"/>
    <w:rPr>
      <w:b/>
      <w:i/>
      <w:color w:val="60A0B0"/>
    </w:rPr>
  </w:style>
  <w:style w:type="character" w:customStyle="1" w:styleId="68">
    <w:name w:val="OtherTok"/>
    <w:basedOn w:val="48"/>
    <w:qFormat/>
    <w:uiPriority w:val="0"/>
    <w:rPr>
      <w:color w:val="007020"/>
    </w:rPr>
  </w:style>
  <w:style w:type="character" w:customStyle="1" w:styleId="69">
    <w:name w:val="FunctionTok"/>
    <w:basedOn w:val="48"/>
    <w:qFormat/>
    <w:uiPriority w:val="0"/>
    <w:rPr>
      <w:color w:val="06287E"/>
    </w:rPr>
  </w:style>
  <w:style w:type="character" w:customStyle="1" w:styleId="70">
    <w:name w:val="VariableTok"/>
    <w:basedOn w:val="48"/>
    <w:qFormat/>
    <w:uiPriority w:val="0"/>
    <w:rPr>
      <w:color w:val="19177C"/>
    </w:rPr>
  </w:style>
  <w:style w:type="character" w:customStyle="1" w:styleId="71">
    <w:name w:val="ControlFlowTok"/>
    <w:basedOn w:val="48"/>
    <w:qFormat/>
    <w:uiPriority w:val="0"/>
    <w:rPr>
      <w:b/>
      <w:color w:val="007020"/>
    </w:rPr>
  </w:style>
  <w:style w:type="character" w:customStyle="1" w:styleId="72">
    <w:name w:val="OperatorTok"/>
    <w:basedOn w:val="48"/>
    <w:qFormat/>
    <w:uiPriority w:val="0"/>
    <w:rPr>
      <w:color w:val="666666"/>
    </w:rPr>
  </w:style>
  <w:style w:type="character" w:customStyle="1" w:styleId="73">
    <w:name w:val="BuiltInTok"/>
    <w:basedOn w:val="48"/>
    <w:qFormat/>
    <w:uiPriority w:val="0"/>
    <w:rPr>
      <w:color w:val="008000"/>
    </w:rPr>
  </w:style>
  <w:style w:type="character" w:customStyle="1" w:styleId="74">
    <w:name w:val="ExtensionTok"/>
    <w:basedOn w:val="48"/>
    <w:qFormat/>
    <w:uiPriority w:val="0"/>
  </w:style>
  <w:style w:type="character" w:customStyle="1" w:styleId="75">
    <w:name w:val="PreprocessorTok"/>
    <w:basedOn w:val="48"/>
    <w:qFormat/>
    <w:uiPriority w:val="0"/>
    <w:rPr>
      <w:color w:val="BC7A00"/>
    </w:rPr>
  </w:style>
  <w:style w:type="character" w:customStyle="1" w:styleId="76">
    <w:name w:val="AttributeTok"/>
    <w:basedOn w:val="48"/>
    <w:qFormat/>
    <w:uiPriority w:val="0"/>
    <w:rPr>
      <w:color w:val="7D9029"/>
    </w:rPr>
  </w:style>
  <w:style w:type="character" w:customStyle="1" w:styleId="77">
    <w:name w:val="RegionMarkerTok"/>
    <w:basedOn w:val="48"/>
    <w:qFormat/>
    <w:uiPriority w:val="0"/>
  </w:style>
  <w:style w:type="character" w:customStyle="1" w:styleId="78">
    <w:name w:val="InformationTok"/>
    <w:basedOn w:val="48"/>
    <w:qFormat/>
    <w:uiPriority w:val="0"/>
    <w:rPr>
      <w:b/>
      <w:i/>
      <w:color w:val="60A0B0"/>
    </w:rPr>
  </w:style>
  <w:style w:type="character" w:customStyle="1" w:styleId="79">
    <w:name w:val="WarningTok"/>
    <w:basedOn w:val="48"/>
    <w:qFormat/>
    <w:uiPriority w:val="0"/>
    <w:rPr>
      <w:b/>
      <w:i/>
      <w:color w:val="60A0B0"/>
    </w:rPr>
  </w:style>
  <w:style w:type="character" w:customStyle="1" w:styleId="80">
    <w:name w:val="AlertTok"/>
    <w:basedOn w:val="48"/>
    <w:qFormat/>
    <w:uiPriority w:val="0"/>
    <w:rPr>
      <w:b/>
      <w:color w:val="FF0000"/>
    </w:rPr>
  </w:style>
  <w:style w:type="character" w:customStyle="1" w:styleId="81">
    <w:name w:val="ErrorTok"/>
    <w:basedOn w:val="48"/>
    <w:qFormat/>
    <w:uiPriority w:val="0"/>
    <w:rPr>
      <w:b/>
      <w:color w:val="FF0000"/>
    </w:rPr>
  </w:style>
  <w:style w:type="character" w:customStyle="1" w:styleId="82">
    <w:name w:val="NormalTok"/>
    <w:basedOn w:val="4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4955</Words>
  <Characters>7132</Characters>
  <Lines>12</Lines>
  <Paragraphs>8</Paragraphs>
  <TotalTime>5</TotalTime>
  <ScaleCrop>false</ScaleCrop>
  <LinksUpToDate>false</LinksUpToDate>
  <CharactersWithSpaces>7710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2026-06-21T07:30:00Z</dcterms:created>
  <dc:creator>陈琦</dc:creator>
  <cp:lastModifiedBy>陈琦</cp:lastModifiedBy>
  <dcterms:modified xsi:type="dcterms:W3CDTF">2026-06-21T07:54:25Z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eyJoZGlkIjoiZjk3YTAxM2Y0NmQxMDNjZWIxZmE1NzIzZDE0Mjc1NjIiLCJ1c2VySWQiOiIxNzQzNzM2NTU4In0=</vt:lpwstr>
  </property>
  <property fmtid="{D5CDD505-2E9C-101B-9397-08002B2CF9AE}" pid="3" name="KSOProductBuildVer">
    <vt:lpwstr>2052-12.1.0.26895</vt:lpwstr>
  </property>
  <property fmtid="{D5CDD505-2E9C-101B-9397-08002B2CF9AE}" pid="4" name="ICV">
    <vt:lpwstr>1B6D7D7DC0B649F29C3CE9A9F30C8BCF_12</vt:lpwstr>
  </property>
</Properties>
</file>