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77591E">
      <w:pPr>
        <w:pStyle w:val="2"/>
        <w:numPr>
          <w:ilvl w:val="0"/>
          <w:numId w:val="0"/>
        </w:numPr>
        <w:spacing w:line="240" w:lineRule="auto"/>
        <w:ind w:left="0" w:leftChars="0" w:firstLine="0" w:firstLineChars="0"/>
        <w:rPr>
          <w:rFonts w:hint="eastAsia" w:ascii="黑体" w:hAnsi="黑体" w:eastAsia="黑体" w:cs="黑体"/>
        </w:rPr>
      </w:pPr>
      <w:bookmarkStart w:id="0" w:name="实验报告基于深度学习的-isp-网络流量预测模型对比分析"/>
      <w:r>
        <w:rPr>
          <w:rFonts w:hint="eastAsia" w:ascii="黑体" w:hAnsi="黑体" w:eastAsia="黑体" w:cs="黑体"/>
        </w:rPr>
        <w:t>实验报告：基于深度学习的 ISP 网络流量预测模型对比分析</w:t>
      </w:r>
    </w:p>
    <w:p w14:paraId="0F83234B">
      <w:pPr>
        <w:rPr>
          <w:rFonts w:hint="eastAsia" w:ascii="黑体" w:hAnsi="黑体" w:eastAsia="黑体" w:cs="黑体"/>
        </w:rPr>
      </w:pPr>
    </w:p>
    <w:p w14:paraId="156AE14E">
      <w:pPr>
        <w:jc w:val="center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24"/>
          <w:szCs w:val="32"/>
          <w:lang w:val="en-US" w:eastAsia="zh-CN"/>
        </w:rPr>
        <w:t>陈琦 2023212638</w:t>
      </w:r>
    </w:p>
    <w:p w14:paraId="5FC91AD1">
      <w:pPr>
        <w:pStyle w:val="3"/>
        <w:numPr>
          <w:ilvl w:val="1"/>
          <w:numId w:val="0"/>
        </w:numPr>
        <w:spacing w:line="240" w:lineRule="auto"/>
        <w:ind w:left="0" w:leftChars="0" w:firstLine="0" w:firstLineChars="0"/>
        <w:rPr>
          <w:rFonts w:hint="default" w:ascii="黑体" w:hAnsi="黑体" w:eastAsia="黑体" w:cs="黑体"/>
        </w:rPr>
      </w:pPr>
      <w:bookmarkStart w:id="1" w:name="摘要"/>
      <w:r>
        <w:rPr>
          <w:rFonts w:hint="default" w:ascii="黑体" w:hAnsi="黑体" w:eastAsia="黑体" w:cs="黑体"/>
        </w:rPr>
        <w:t>1. 摘要</w:t>
      </w:r>
    </w:p>
    <w:p w14:paraId="0083F51E">
      <w:pPr>
        <w:pStyle w:val="37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本实验复现了论文”Comparative Analysis of Deep Learning Models for Real-World ISP Network Traffic Forecasting”，在 CESNET-TimeSeries24 数据集的机构级流量数据上，对比了 Mean、SARIMA、LSTM、GRU 四种模型的流量预测性能。实验采用 35:5:60 的时间顺序分割和 Z-score 标准化，评估了不同滑动窗口配置下的预测效果。结果表明：GRU 和 LSTM 表现接近（R² 中位数 0.145 和 0.116），均显著优于 Mean 基线（R² 中位数 -0.004）。SARIMA 在滚动预测策略下表现最强（R² 中位数 0.183），说明传统统计模型在公平比较下仍有竞争力。实验同时发现了真实网络流量数据中存在的季节性分布漂移问题，其对模型评估的影响值得关注。</w:t>
      </w:r>
    </w:p>
    <w:p w14:paraId="0932EC28">
      <w:pPr>
        <w:pStyle w:val="7"/>
        <w:rPr>
          <w:rFonts w:hint="default"/>
        </w:rPr>
      </w:pPr>
    </w:p>
    <w:bookmarkEnd w:id="1"/>
    <w:p w14:paraId="441E92ED">
      <w:pPr>
        <w:pStyle w:val="3"/>
        <w:numPr>
          <w:ilvl w:val="1"/>
          <w:numId w:val="0"/>
        </w:numPr>
        <w:spacing w:line="240" w:lineRule="auto"/>
        <w:ind w:left="0" w:leftChars="0" w:firstLine="0" w:firstLineChars="0"/>
        <w:rPr>
          <w:rFonts w:hint="eastAsia" w:ascii="黑体" w:hAnsi="黑体" w:eastAsia="黑体" w:cs="黑体"/>
        </w:rPr>
      </w:pPr>
      <w:bookmarkStart w:id="2" w:name="引言"/>
      <w:r>
        <w:rPr>
          <w:rFonts w:hint="eastAsia" w:ascii="黑体" w:hAnsi="黑体" w:eastAsia="黑体" w:cs="黑体"/>
        </w:rPr>
        <w:t>2. 引言</w:t>
      </w:r>
    </w:p>
    <w:p w14:paraId="685ABA9A">
      <w:pPr>
        <w:pStyle w:val="37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ISP </w:t>
      </w:r>
      <w:r>
        <w:rPr>
          <w:rFonts w:hint="eastAsia" w:ascii="Times New Roman" w:hAnsi="Times New Roman" w:eastAsia="宋体" w:cs="Times New Roman"/>
        </w:rPr>
        <w:t>网络流量预测是网络资源管理、拥塞控制和容量规划的基础技术。准确的流量预测可以帮助运营商优化网络资源配置、降低运营成本、提升用户体验。近年来，LSTM、GRU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等循环神经网络在时序预测领域取得显著成功，但在真实大规模</w:t>
      </w:r>
      <w:r>
        <w:rPr>
          <w:rFonts w:hint="default" w:ascii="Times New Roman" w:hAnsi="Times New Roman" w:eastAsia="宋体" w:cs="Times New Roman"/>
        </w:rPr>
        <w:t xml:space="preserve"> ISP </w:t>
      </w:r>
      <w:r>
        <w:rPr>
          <w:rFonts w:hint="eastAsia" w:ascii="Times New Roman" w:hAnsi="Times New Roman" w:eastAsia="宋体" w:cs="Times New Roman"/>
        </w:rPr>
        <w:t>数据上的系统性对比研究仍较为有限。</w:t>
      </w:r>
    </w:p>
    <w:p w14:paraId="72255CF2">
      <w:pPr>
        <w:pStyle w:val="37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论文”Comparative</w:t>
      </w:r>
      <w:r>
        <w:rPr>
          <w:rFonts w:hint="default" w:ascii="Times New Roman" w:hAnsi="Times New Roman" w:eastAsia="宋体" w:cs="Times New Roman"/>
        </w:rPr>
        <w:t xml:space="preserve"> Analysis of Deep Learning Models for Real-World ISP Network Traffic </w:t>
      </w:r>
      <w:r>
        <w:rPr>
          <w:rFonts w:hint="eastAsia" w:ascii="Times New Roman" w:hAnsi="Times New Roman" w:eastAsia="宋体" w:cs="Times New Roman"/>
        </w:rPr>
        <w:t>Forecasting”（Koumar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等，2025）在</w:t>
      </w:r>
      <w:r>
        <w:rPr>
          <w:rFonts w:hint="default" w:ascii="Times New Roman" w:hAnsi="Times New Roman" w:eastAsia="宋体" w:cs="Times New Roman"/>
        </w:rPr>
        <w:t xml:space="preserve"> CESNET-TimeSeries24 </w:t>
      </w:r>
      <w:r>
        <w:rPr>
          <w:rFonts w:hint="eastAsia" w:ascii="Times New Roman" w:hAnsi="Times New Roman" w:eastAsia="宋体" w:cs="Times New Roman"/>
        </w:rPr>
        <w:t>数据集（40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>周真实</w:t>
      </w:r>
      <w:r>
        <w:rPr>
          <w:rFonts w:hint="default" w:ascii="Times New Roman" w:hAnsi="Times New Roman" w:eastAsia="宋体" w:cs="Times New Roman"/>
        </w:rPr>
        <w:t xml:space="preserve"> ISP </w:t>
      </w:r>
      <w:r>
        <w:rPr>
          <w:rFonts w:hint="eastAsia" w:ascii="Times New Roman" w:hAnsi="Times New Roman" w:eastAsia="宋体" w:cs="Times New Roman"/>
        </w:rPr>
        <w:t>流量，含</w:t>
      </w:r>
      <w:r>
        <w:rPr>
          <w:rFonts w:hint="default" w:ascii="Times New Roman" w:hAnsi="Times New Roman" w:eastAsia="宋体" w:cs="Times New Roman"/>
        </w:rPr>
        <w:t xml:space="preserve"> 283 </w:t>
      </w:r>
      <w:r>
        <w:rPr>
          <w:rFonts w:hint="eastAsia" w:ascii="Times New Roman" w:hAnsi="Times New Roman" w:eastAsia="宋体" w:cs="Times New Roman"/>
        </w:rPr>
        <w:t>条机构级序列）上对</w:t>
      </w:r>
      <w:r>
        <w:rPr>
          <w:rFonts w:hint="default" w:ascii="Times New Roman" w:hAnsi="Times New Roman" w:eastAsia="宋体" w:cs="Times New Roman"/>
        </w:rPr>
        <w:t xml:space="preserve"> 10 </w:t>
      </w:r>
      <w:r>
        <w:rPr>
          <w:rFonts w:hint="eastAsia" w:ascii="Times New Roman" w:hAnsi="Times New Roman" w:eastAsia="宋体" w:cs="Times New Roman"/>
        </w:rPr>
        <w:t>种模型进行了系统对比。该论文的核心贡献在于提供了一个标准化的基准测试框架，但其主要局限在于：对</w:t>
      </w:r>
      <w:r>
        <w:rPr>
          <w:rFonts w:hint="default" w:ascii="Times New Roman" w:hAnsi="Times New Roman" w:eastAsia="宋体" w:cs="Times New Roman"/>
        </w:rPr>
        <w:t xml:space="preserve"> SARIMA </w:t>
      </w:r>
      <w:r>
        <w:rPr>
          <w:rFonts w:hint="eastAsia" w:ascii="Times New Roman" w:hAnsi="Times New Roman" w:eastAsia="宋体" w:cs="Times New Roman"/>
        </w:rPr>
        <w:t>等统计模型仅做一次全局拟合、固定参数预测，未采用滚动更新策略，可能导致不公平的对比结论。</w:t>
      </w:r>
    </w:p>
    <w:p w14:paraId="04612B12">
      <w:pPr>
        <w:pStyle w:val="37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本实验在复现核心实验的基础上，做了以下拓展：（1）对</w:t>
      </w:r>
      <w:r>
        <w:rPr>
          <w:rFonts w:hint="default" w:ascii="Times New Roman" w:hAnsi="Times New Roman" w:eastAsia="宋体" w:cs="Times New Roman"/>
        </w:rPr>
        <w:t xml:space="preserve"> SARIMA </w:t>
      </w:r>
      <w:r>
        <w:rPr>
          <w:rFonts w:hint="eastAsia" w:ascii="Times New Roman" w:hAnsi="Times New Roman" w:eastAsia="宋体" w:cs="Times New Roman"/>
        </w:rPr>
        <w:t>引入滚动预测策略，使其与</w:t>
      </w:r>
      <w:r>
        <w:rPr>
          <w:rFonts w:hint="default" w:ascii="Times New Roman" w:hAnsi="Times New Roman" w:eastAsia="宋体" w:cs="Times New Roman"/>
        </w:rPr>
        <w:t xml:space="preserve"> DL </w:t>
      </w:r>
      <w:r>
        <w:rPr>
          <w:rFonts w:hint="eastAsia" w:ascii="Times New Roman" w:hAnsi="Times New Roman" w:eastAsia="宋体" w:cs="Times New Roman"/>
        </w:rPr>
        <w:t>模型在相同条件下对比；（2）系统分析了时间分割比例和标准化方式对评估结果的影响；（3）揭示了数据分布漂移对</w:t>
      </w:r>
      <w:r>
        <w:rPr>
          <w:rFonts w:hint="default" w:ascii="Times New Roman" w:hAnsi="Times New Roman" w:eastAsia="宋体" w:cs="Times New Roman"/>
        </w:rPr>
        <w:t xml:space="preserve"> R² </w:t>
      </w:r>
      <w:r>
        <w:rPr>
          <w:rFonts w:hint="eastAsia" w:ascii="Times New Roman" w:hAnsi="Times New Roman" w:eastAsia="宋体" w:cs="Times New Roman"/>
        </w:rPr>
        <w:t>指标的干扰，比较了三种处理方案。</w:t>
      </w:r>
    </w:p>
    <w:p w14:paraId="64D4325B">
      <w:pPr>
        <w:pStyle w:val="7"/>
        <w:spacing w:line="240" w:lineRule="auto"/>
        <w:rPr>
          <w:rFonts w:hint="default" w:ascii="Times New Roman" w:hAnsi="Times New Roman" w:eastAsia="宋体" w:cs="Times New Roman"/>
        </w:rPr>
      </w:pPr>
    </w:p>
    <w:bookmarkEnd w:id="2"/>
    <w:p w14:paraId="1F8857D3">
      <w:pPr>
        <w:pStyle w:val="3"/>
        <w:numPr>
          <w:ilvl w:val="1"/>
          <w:numId w:val="0"/>
        </w:numPr>
        <w:spacing w:line="240" w:lineRule="auto"/>
        <w:ind w:left="0" w:leftChars="0" w:firstLine="0" w:firstLineChars="0"/>
        <w:rPr>
          <w:rFonts w:hint="default" w:ascii="黑体" w:hAnsi="黑体" w:eastAsia="黑体" w:cs="黑体"/>
        </w:rPr>
      </w:pPr>
      <w:bookmarkStart w:id="3" w:name="数据与预处理方法"/>
      <w:r>
        <w:rPr>
          <w:rFonts w:hint="default" w:ascii="黑体" w:hAnsi="黑体" w:eastAsia="黑体" w:cs="黑体"/>
        </w:rPr>
        <w:t>3. 数据与预处理方法</w:t>
      </w:r>
    </w:p>
    <w:p w14:paraId="7DE3D2E6">
      <w:pPr>
        <w:pStyle w:val="4"/>
        <w:numPr>
          <w:ilvl w:val="2"/>
          <w:numId w:val="0"/>
        </w:numPr>
        <w:spacing w:line="240" w:lineRule="auto"/>
        <w:ind w:left="0" w:leftChars="0" w:firstLine="0" w:firstLineChars="0"/>
        <w:rPr>
          <w:rFonts w:hint="default" w:ascii="黑体" w:hAnsi="黑体" w:eastAsia="黑体" w:cs="黑体"/>
          <w:b/>
          <w:bCs/>
          <w:kern w:val="2"/>
          <w:sz w:val="32"/>
          <w:szCs w:val="32"/>
        </w:rPr>
      </w:pPr>
      <w:bookmarkStart w:id="4" w:name="数据集"/>
      <w:r>
        <w:rPr>
          <w:rFonts w:hint="default" w:ascii="黑体" w:hAnsi="黑体" w:eastAsia="黑体" w:cs="黑体"/>
          <w:b/>
          <w:bCs/>
          <w:kern w:val="2"/>
          <w:sz w:val="32"/>
          <w:szCs w:val="32"/>
        </w:rPr>
        <w:t>3.1 数据集</w:t>
      </w:r>
    </w:p>
    <w:p w14:paraId="1ED38628">
      <w:pPr>
        <w:pStyle w:val="37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CESNET-TimeSeries24，捷克 CESNET 科研教育网络 2023 年 10 月至 2024 年 7 月共 40 周的流量数据。</w:t>
      </w:r>
    </w:p>
    <w:p w14:paraId="2A007077">
      <w:pPr>
        <w:pStyle w:val="7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使用</w:t>
      </w:r>
      <w:r>
        <w:rPr>
          <w:rFonts w:hint="default" w:ascii="Times New Roman" w:hAnsi="Times New Roman" w:eastAsia="宋体" w:cs="Times New Roman"/>
          <w:b/>
          <w:bCs/>
        </w:rPr>
        <w:t>机构级（institutions）</w:t>
      </w:r>
      <w:r>
        <w:rPr>
          <w:rFonts w:hint="default" w:ascii="Times New Roman" w:hAnsi="Times New Roman" w:eastAsia="宋体" w:cs="Times New Roman"/>
        </w:rPr>
        <w:t xml:space="preserve"> 283 条时间序列，1 小时间隔聚合，以 </w:t>
      </w:r>
      <w:r>
        <w:rPr>
          <w:rStyle w:val="63"/>
          <w:rFonts w:hint="default" w:ascii="Times New Roman" w:hAnsi="Times New Roman" w:eastAsia="宋体" w:cs="Times New Roman"/>
        </w:rPr>
        <w:t>n_bytes</w:t>
      </w:r>
      <w:r>
        <w:rPr>
          <w:rFonts w:hint="default" w:ascii="Times New Roman" w:hAnsi="Times New Roman" w:eastAsia="宋体" w:cs="Times New Roman"/>
        </w:rPr>
        <w:t>（传输字节数）为主预测指标。机构级数据缺失率约 1%，远低于 IP 地址级的 80%+，周期模式清晰，适合作为主实验数据集。</w:t>
      </w:r>
    </w:p>
    <w:p w14:paraId="33766497">
      <w:pPr>
        <w:pStyle w:val="7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数据集的主要挑战： - </w:t>
      </w:r>
      <w:r>
        <w:rPr>
          <w:rFonts w:hint="default" w:ascii="Times New Roman" w:hAnsi="Times New Roman" w:eastAsia="宋体" w:cs="Times New Roman"/>
          <w:b/>
          <w:bCs/>
        </w:rPr>
        <w:t>时间序列间隙</w:t>
      </w:r>
      <w:r>
        <w:rPr>
          <w:rFonts w:hint="default" w:ascii="Times New Roman" w:hAnsi="Times New Roman" w:eastAsia="宋体" w:cs="Times New Roman"/>
        </w:rPr>
        <w:t xml:space="preserve">：原始 CSV 只记录有数据的行，缺失时间点整行不存在（而非 NaN），需通过对齐时间轴来识别。 - </w:t>
      </w:r>
      <w:r>
        <w:rPr>
          <w:rFonts w:hint="default" w:ascii="Times New Roman" w:hAnsi="Times New Roman" w:eastAsia="宋体" w:cs="Times New Roman"/>
          <w:b/>
          <w:bCs/>
        </w:rPr>
        <w:t>周期模式</w:t>
      </w:r>
      <w:r>
        <w:rPr>
          <w:rFonts w:hint="default" w:ascii="Times New Roman" w:hAnsi="Times New Roman" w:eastAsia="宋体" w:cs="Times New Roman"/>
        </w:rPr>
        <w:t xml:space="preserve">：存在日周期（24h）和周周期（168h），为滑动窗口的选择提供了依据。 - </w:t>
      </w:r>
      <w:r>
        <w:rPr>
          <w:rFonts w:hint="default" w:ascii="Times New Roman" w:hAnsi="Times New Roman" w:eastAsia="宋体" w:cs="Times New Roman"/>
          <w:b/>
          <w:bCs/>
        </w:rPr>
        <w:t>分布漂移</w:t>
      </w:r>
      <w:r>
        <w:rPr>
          <w:rFonts w:hint="default" w:ascii="Times New Roman" w:hAnsi="Times New Roman" w:eastAsia="宋体" w:cs="Times New Roman"/>
        </w:rPr>
        <w:t>：部分机构受季节性影响（如暑假），测试集流量相较训练集骤降 10</w:t>
      </w:r>
      <w:r>
        <w:rPr>
          <w:rFonts w:hint="default" w:ascii="Times New Roman" w:hAnsi="Times New Roman" w:eastAsia="宋体" w:cs="Times New Roman"/>
          <w:vertAlign w:val="superscript"/>
        </w:rPr>
        <w:t>4~10</w:t>
      </w:r>
      <w:r>
        <w:rPr>
          <w:rFonts w:hint="default" w:ascii="Times New Roman" w:hAnsi="Times New Roman" w:eastAsia="宋体" w:cs="Times New Roman"/>
        </w:rPr>
        <w:t xml:space="preserve"> 倍，导致模型失效。</w:t>
      </w:r>
    </w:p>
    <w:p w14:paraId="5EE304E9">
      <w:pPr>
        <w:pStyle w:val="61"/>
        <w:spacing w:line="240" w:lineRule="auto"/>
        <w:jc w:val="center"/>
        <w:rPr>
          <w:rFonts w:hint="default" w:ascii="Times New Roman" w:hAnsi="Times New Roman" w:eastAsia="宋体" w:cs="Times New Roman"/>
        </w:rPr>
      </w:pPr>
    </w:p>
    <w:p w14:paraId="66413241">
      <w:pPr>
        <w:pStyle w:val="61"/>
        <w:spacing w:line="240" w:lineRule="auto"/>
        <w:jc w:val="center"/>
        <w:rPr>
          <w:rFonts w:hint="default" w:ascii="Times New Roman" w:hAnsi="Times New Roman" w:eastAsia="宋体" w:cs="Times New Roman"/>
        </w:rPr>
      </w:pPr>
    </w:p>
    <w:p w14:paraId="78D782A8">
      <w:pPr>
        <w:pStyle w:val="61"/>
        <w:spacing w:line="240" w:lineRule="auto"/>
        <w:jc w:val="center"/>
        <w:rPr>
          <w:rFonts w:hint="default" w:ascii="Times New Roman" w:hAnsi="Times New Roman" w:eastAsia="宋体" w:cs="Times New Roman"/>
        </w:rPr>
      </w:pPr>
    </w:p>
    <w:p w14:paraId="7B56A8A4">
      <w:pPr>
        <w:pStyle w:val="61"/>
        <w:spacing w:line="240" w:lineRule="auto"/>
        <w:jc w:val="center"/>
        <w:rPr>
          <w:rFonts w:hint="default" w:ascii="Times New Roman" w:hAnsi="Times New Roman" w:eastAsia="宋体" w:cs="Times New Roman"/>
        </w:rPr>
      </w:pPr>
    </w:p>
    <w:p w14:paraId="74318BF1">
      <w:pPr>
        <w:pStyle w:val="61"/>
        <w:spacing w:line="240" w:lineRule="auto"/>
        <w:jc w:val="center"/>
        <w:rPr>
          <w:rFonts w:hint="default" w:ascii="Times New Roman" w:hAnsi="Times New Roman" w:eastAsia="宋体" w:cs="Times New Roman"/>
        </w:rPr>
      </w:pPr>
    </w:p>
    <w:p w14:paraId="4E4A7320">
      <w:pPr>
        <w:pStyle w:val="61"/>
        <w:spacing w:line="240" w:lineRule="auto"/>
        <w:jc w:val="center"/>
        <w:rPr>
          <w:rFonts w:hint="default" w:ascii="Times New Roman" w:hAnsi="Times New Roman" w:eastAsia="宋体" w:cs="Times New Roman"/>
        </w:rPr>
      </w:pPr>
    </w:p>
    <w:p w14:paraId="398540DE">
      <w:pPr>
        <w:pStyle w:val="61"/>
        <w:spacing w:line="240" w:lineRule="auto"/>
        <w:jc w:val="center"/>
        <w:rPr>
          <w:rFonts w:hint="default" w:ascii="Times New Roman" w:hAnsi="Times New Roman" w:eastAsia="宋体" w:cs="Times New Roman"/>
        </w:rPr>
        <w:sectPr>
          <w:footnotePr>
            <w:numRestart w:val="eachSect"/>
          </w:footnotePr>
          <w:pgMar w:top="1440" w:right="1080" w:bottom="1440" w:left="1080" w:header="720" w:footer="720" w:gutter="0"/>
          <w:cols w:space="720" w:num="1"/>
        </w:sectPr>
      </w:pPr>
    </w:p>
    <w:p w14:paraId="72DAB606">
      <w:pPr>
        <w:pStyle w:val="61"/>
        <w:spacing w:line="24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401060" cy="930910"/>
            <wp:effectExtent l="0" t="0" r="2540" b="8890"/>
            <wp:docPr id="12" name="Picture" descr="各级别缺失率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各级别缺失率分布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930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29E0DB">
      <w:pPr>
        <w:pStyle w:val="7"/>
        <w:spacing w:line="240" w:lineRule="auto"/>
        <w:jc w:val="left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图 1：各级别缺失率分布</w:t>
      </w:r>
      <w:r>
        <w:rPr>
          <w:rFonts w:hint="eastAsia" w:ascii="Times New Roman" w:hAnsi="Times New Roman" w:eastAsia="宋体" w:cs="Times New Roman"/>
          <w:i w:val="0"/>
          <w:iCs w:val="0"/>
        </w:rPr>
        <w:t>——机构级集中于</w:t>
      </w:r>
      <w:r>
        <w:rPr>
          <w:rFonts w:hint="default" w:ascii="Times New Roman" w:hAnsi="Times New Roman" w:eastAsia="宋体" w:cs="Times New Roman"/>
          <w:i w:val="0"/>
          <w:iCs w:val="0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</w:rPr>
        <w:t>0%，远低于</w:t>
      </w:r>
      <w:r>
        <w:rPr>
          <w:rFonts w:hint="default" w:ascii="Times New Roman" w:hAnsi="Times New Roman" w:eastAsia="宋体" w:cs="Times New Roman"/>
          <w:i w:val="0"/>
          <w:iCs w:val="0"/>
        </w:rPr>
        <w:t xml:space="preserve"> IP </w:t>
      </w:r>
      <w:r>
        <w:rPr>
          <w:rFonts w:hint="eastAsia" w:ascii="Times New Roman" w:hAnsi="Times New Roman" w:eastAsia="宋体" w:cs="Times New Roman"/>
          <w:i w:val="0"/>
          <w:iCs w:val="0"/>
        </w:rPr>
        <w:t>级</w:t>
      </w:r>
    </w:p>
    <w:p w14:paraId="56C37D86">
      <w:pPr>
        <w:pStyle w:val="61"/>
        <w:spacing w:line="24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128645" cy="1555115"/>
            <wp:effectExtent l="0" t="0" r="8255" b="6985"/>
            <wp:docPr id="15" name="Picture" descr="ACF周期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ACF周期分析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8645" cy="1555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1B393E">
      <w:pPr>
        <w:pStyle w:val="7"/>
        <w:spacing w:line="240" w:lineRule="auto"/>
        <w:jc w:val="left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图 2：周期分析——自相关函数</w:t>
      </w:r>
      <w:r>
        <w:rPr>
          <w:rFonts w:hint="eastAsia" w:ascii="Times New Roman" w:hAnsi="Times New Roman" w:eastAsia="宋体" w:cs="Times New Roman"/>
          <w:i w:val="0"/>
          <w:iCs w:val="0"/>
          <w:lang w:eastAsia="zh-CN"/>
        </w:rPr>
        <w:t>，</w:t>
      </w:r>
      <w:r>
        <w:rPr>
          <w:rFonts w:hint="eastAsia" w:ascii="Times New Roman" w:hAnsi="Times New Roman" w:eastAsia="宋体" w:cs="Times New Roman"/>
          <w:i w:val="0"/>
          <w:iCs w:val="0"/>
        </w:rPr>
        <w:t>lag=24</w:t>
      </w:r>
      <w:r>
        <w:rPr>
          <w:rFonts w:hint="default" w:ascii="Times New Roman" w:hAnsi="Times New Roman" w:eastAsia="宋体" w:cs="Times New Roman"/>
          <w:i w:val="0"/>
          <w:iCs w:val="0"/>
        </w:rPr>
        <w:t xml:space="preserve"> </w:t>
      </w:r>
      <w:r>
        <w:rPr>
          <w:rFonts w:hint="eastAsia" w:ascii="Times New Roman" w:hAnsi="Times New Roman" w:eastAsia="宋体" w:cs="Times New Roman"/>
          <w:i w:val="0"/>
          <w:iCs w:val="0"/>
        </w:rPr>
        <w:t>和</w:t>
      </w:r>
      <w:r>
        <w:rPr>
          <w:rFonts w:hint="default" w:ascii="Times New Roman" w:hAnsi="Times New Roman" w:eastAsia="宋体" w:cs="Times New Roman"/>
          <w:i w:val="0"/>
          <w:iCs w:val="0"/>
        </w:rPr>
        <w:t xml:space="preserve"> lag=168 </w:t>
      </w:r>
      <w:r>
        <w:rPr>
          <w:rFonts w:hint="eastAsia" w:ascii="Times New Roman" w:hAnsi="Times New Roman" w:eastAsia="宋体" w:cs="Times New Roman"/>
          <w:i w:val="0"/>
          <w:iCs w:val="0"/>
        </w:rPr>
        <w:t>处峰值确认日周期和周周期</w:t>
      </w:r>
    </w:p>
    <w:p w14:paraId="658C8598">
      <w:pPr>
        <w:pStyle w:val="7"/>
        <w:spacing w:line="240" w:lineRule="auto"/>
        <w:jc w:val="left"/>
        <w:rPr>
          <w:rFonts w:hint="eastAsia" w:ascii="Times New Roman" w:hAnsi="Times New Roman" w:eastAsia="宋体" w:cs="Times New Roman"/>
          <w:i w:val="0"/>
          <w:iCs w:val="0"/>
          <w:lang w:eastAsia="zh-CN"/>
        </w:rPr>
      </w:pPr>
    </w:p>
    <w:p w14:paraId="4E6980A5">
      <w:pPr>
        <w:pStyle w:val="61"/>
        <w:spacing w:line="24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2839085" cy="1758950"/>
            <wp:effectExtent l="0" t="0" r="5715" b="6350"/>
            <wp:docPr id="18" name="Picture" descr="层级流量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层级流量对比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9085" cy="1758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139B1F">
      <w:pPr>
        <w:pStyle w:val="7"/>
        <w:spacing w:line="240" w:lineRule="auto"/>
        <w:jc w:val="left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图 3：不同层级流量对比</w:t>
      </w:r>
    </w:p>
    <w:p w14:paraId="611E1B81">
      <w:pPr>
        <w:pStyle w:val="61"/>
        <w:spacing w:line="24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2940685" cy="805180"/>
            <wp:effectExtent l="0" t="0" r="5715" b="7620"/>
            <wp:docPr id="21" name="Picture" descr="数据分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数据分布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805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8A5233">
      <w:pPr>
        <w:pStyle w:val="7"/>
        <w:spacing w:line="240" w:lineRule="auto"/>
        <w:jc w:val="left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图 4：n_bytes 数据分布</w:t>
      </w:r>
    </w:p>
    <w:bookmarkEnd w:id="4"/>
    <w:p w14:paraId="7F2B345A">
      <w:pPr>
        <w:pStyle w:val="4"/>
        <w:spacing w:line="240" w:lineRule="auto"/>
        <w:rPr>
          <w:rFonts w:hint="default" w:ascii="Times New Roman" w:hAnsi="Times New Roman" w:eastAsia="宋体" w:cs="Times New Roman"/>
        </w:rPr>
        <w:sectPr>
          <w:footnotePr>
            <w:numRestart w:val="eachSect"/>
          </w:footnotePr>
          <w:type w:val="continuous"/>
          <w:pgMar w:top="1440" w:right="1080" w:bottom="1440" w:left="1080" w:header="720" w:footer="720" w:gutter="0"/>
          <w:cols w:equalWidth="0" w:num="2">
            <w:col w:w="4827" w:space="425"/>
            <w:col w:w="4827"/>
          </w:cols>
        </w:sectPr>
      </w:pPr>
      <w:bookmarkStart w:id="5" w:name="预处理流程"/>
    </w:p>
    <w:p w14:paraId="6B237848">
      <w:pPr>
        <w:pStyle w:val="4"/>
        <w:numPr>
          <w:ilvl w:val="2"/>
          <w:numId w:val="0"/>
        </w:numPr>
        <w:spacing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3.2 预处理流程</w:t>
      </w:r>
    </w:p>
    <w:p w14:paraId="2F66CE07">
      <w:pPr>
        <w:pStyle w:val="37"/>
        <w:spacing w:line="240" w:lineRule="auto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预处理流程包含以下步骤：</w:t>
      </w:r>
    </w:p>
    <w:p w14:paraId="211CAD76">
      <w:pPr>
        <w:pStyle w:val="61"/>
        <w:spacing w:line="24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334000" cy="1256665"/>
            <wp:effectExtent l="0" t="0" r="0" b="0"/>
            <wp:docPr id="25" name="Picture" descr="预处理流程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预处理流程 Pipelin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b="2065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56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FCF94B">
      <w:pPr>
        <w:pStyle w:val="7"/>
        <w:spacing w:line="24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/>
          <w:iCs/>
        </w:rPr>
        <w:t>图 5：预处理流程</w:t>
      </w:r>
    </w:p>
    <w:p w14:paraId="17B8AA83">
      <w:pPr>
        <w:pStyle w:val="61"/>
        <w:spacing w:line="24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334000" cy="2366010"/>
            <wp:effectExtent l="0" t="0" r="0" b="0"/>
            <wp:docPr id="28" name="Picture" descr="时间轴对齐与缺失值填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时间轴对齐与缺失值填充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665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34CB34">
      <w:pPr>
        <w:pStyle w:val="7"/>
        <w:spacing w:line="240" w:lineRule="auto"/>
        <w:jc w:val="center"/>
        <w:rPr>
          <w:rFonts w:hint="default" w:ascii="Times New Roman" w:hAnsi="Times New Roman" w:eastAsia="宋体" w:cs="Times New Roman"/>
          <w:i/>
          <w:iCs/>
        </w:rPr>
      </w:pPr>
      <w:r>
        <w:rPr>
          <w:rFonts w:hint="default" w:ascii="Times New Roman" w:hAnsi="Times New Roman" w:eastAsia="宋体" w:cs="Times New Roman"/>
          <w:i/>
          <w:iCs/>
        </w:rPr>
        <w:t>图 6：时间轴对齐与缺失值填充</w:t>
      </w:r>
    </w:p>
    <w:p w14:paraId="210F877B">
      <w:pPr>
        <w:pStyle w:val="7"/>
        <w:spacing w:line="240" w:lineRule="auto"/>
        <w:jc w:val="center"/>
        <w:rPr>
          <w:rFonts w:hint="default" w:ascii="Times New Roman" w:hAnsi="Times New Roman" w:eastAsia="宋体" w:cs="Times New Roman"/>
          <w:i/>
          <w:iCs/>
        </w:rPr>
      </w:pPr>
    </w:p>
    <w:p w14:paraId="22D16958">
      <w:pPr>
        <w:pStyle w:val="61"/>
        <w:spacing w:line="240" w:lineRule="auto"/>
        <w:jc w:val="center"/>
        <w:rPr>
          <w:rFonts w:hint="default" w:ascii="Times New Roman" w:hAnsi="Times New Roman" w:eastAsia="宋体" w:cs="Times New Roman"/>
        </w:rPr>
        <w:sectPr>
          <w:footnotePr>
            <w:numRestart w:val="eachSect"/>
          </w:footnotePr>
          <w:type w:val="continuous"/>
          <w:pgMar w:top="1440" w:right="1080" w:bottom="1440" w:left="1080" w:header="720" w:footer="720" w:gutter="0"/>
          <w:cols w:space="720" w:num="1"/>
        </w:sectPr>
      </w:pPr>
    </w:p>
    <w:p w14:paraId="2DB76169">
      <w:pPr>
        <w:pStyle w:val="61"/>
        <w:spacing w:line="24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051175" cy="1403350"/>
            <wp:effectExtent l="0" t="0" r="9525" b="6350"/>
            <wp:docPr id="31" name="Picture" descr="滑动窗口机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滑动窗口机制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7650"/>
                    <a:stretch>
                      <a:fillRect/>
                    </a:stretch>
                  </pic:blipFill>
                  <pic:spPr>
                    <a:xfrm>
                      <a:off x="0" y="0"/>
                      <a:ext cx="3051175" cy="140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9A553D">
      <w:pPr>
        <w:pStyle w:val="7"/>
        <w:spacing w:line="24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/>
          <w:iCs/>
        </w:rPr>
        <w:t>图 7：滑动窗口机制</w:t>
      </w:r>
    </w:p>
    <w:p w14:paraId="1662B867">
      <w:pPr>
        <w:pStyle w:val="61"/>
        <w:spacing w:line="24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2852420" cy="1442720"/>
            <wp:effectExtent l="0" t="0" r="5080" b="5080"/>
            <wp:docPr id="34" name="Picture" descr="时间分割策略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时间分割策略对比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9747"/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1442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45FDC0">
      <w:pPr>
        <w:pStyle w:val="7"/>
        <w:spacing w:line="24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/>
          <w:iCs/>
        </w:rPr>
        <w:t>图 8：时间分割策略对比</w:t>
      </w:r>
    </w:p>
    <w:p w14:paraId="4C8C907D">
      <w:pPr>
        <w:pStyle w:val="7"/>
        <w:spacing w:line="240" w:lineRule="auto"/>
        <w:rPr>
          <w:rFonts w:hint="default" w:ascii="Times New Roman" w:hAnsi="Times New Roman" w:eastAsia="宋体" w:cs="Times New Roman"/>
          <w:b/>
          <w:bCs/>
        </w:rPr>
        <w:sectPr>
          <w:footnotePr>
            <w:numRestart w:val="eachSect"/>
          </w:footnotePr>
          <w:type w:val="continuous"/>
          <w:pgMar w:top="1440" w:right="1080" w:bottom="1440" w:left="1080" w:header="720" w:footer="720" w:gutter="0"/>
          <w:cols w:equalWidth="0" w:num="2">
            <w:col w:w="4827" w:space="425"/>
            <w:col w:w="4827"/>
          </w:cols>
        </w:sectPr>
      </w:pPr>
    </w:p>
    <w:p w14:paraId="5BA7B87A">
      <w:pPr>
        <w:pStyle w:val="7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时间轴对齐</w:t>
      </w:r>
      <w:r>
        <w:rPr>
          <w:rFonts w:hint="default" w:ascii="Times New Roman" w:hAnsi="Times New Roman" w:eastAsia="宋体" w:cs="Times New Roman"/>
        </w:rPr>
        <w:t xml:space="preserve">：各时间序列与完整时间戳表 </w:t>
      </w:r>
      <w:r>
        <w:rPr>
          <w:rStyle w:val="63"/>
          <w:rFonts w:hint="default" w:ascii="Times New Roman" w:hAnsi="Times New Roman" w:eastAsia="宋体" w:cs="Times New Roman"/>
        </w:rPr>
        <w:t>times.csv</w:t>
      </w:r>
      <w:r>
        <w:rPr>
          <w:rFonts w:hint="default" w:ascii="Times New Roman" w:hAnsi="Times New Roman" w:eastAsia="宋体" w:cs="Times New Roman"/>
        </w:rPr>
        <w:t xml:space="preserve"> 做 right merge，缺失的时间点以 NaN 标记。这一步骤将原始 CSV 中不存在的行补全为 NaN，为后续的缺失值处理奠定基础（图 6）。</w:t>
      </w:r>
    </w:p>
    <w:p w14:paraId="680582E7">
      <w:pPr>
        <w:pStyle w:val="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缺失值填充</w:t>
      </w:r>
      <w:r>
        <w:rPr>
          <w:rFonts w:hint="default" w:ascii="Times New Roman" w:hAnsi="Times New Roman" w:eastAsia="宋体" w:cs="Times New Roman"/>
        </w:rPr>
        <w:t>：：机构级数据缺失率仅约 1%，采用零填充。对于缺失率较高的 IP 级数据，可考虑均值填充或线性插值（图 7）。</w:t>
      </w:r>
    </w:p>
    <w:p w14:paraId="0A9F3B65">
      <w:pPr>
        <w:pStyle w:val="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滑动窗口生成</w:t>
      </w:r>
      <w:r>
        <w:rPr>
          <w:rFonts w:hint="default" w:ascii="Times New Roman" w:hAnsi="Times New Roman" w:eastAsia="宋体" w:cs="Times New Roman"/>
        </w:rPr>
        <w:t>：论文 Table II 定义了 5 种窗口配置。本实验选取其中 4 种：(24,24)、(168,24)、(168,168)、(744,168)。窗口按 stride = prediction_window 不重叠滑动（图 4），将连续序列切分为 (X, y) 样本对。</w:t>
      </w:r>
    </w:p>
    <w:p w14:paraId="45D1C36F">
      <w:pPr>
        <w:pStyle w:val="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时间顺序分割</w:t>
      </w:r>
      <w:r>
        <w:rPr>
          <w:rFonts w:hint="default" w:ascii="Times New Roman" w:hAnsi="Times New Roman" w:eastAsia="宋体" w:cs="Times New Roman"/>
        </w:rPr>
        <w:t>：与分类任务不同，时序预测必须按时间顺序分割，严禁随机打乱以防止未来信息泄露。论文开源代码采用 test_set_size=0.6、valid_set_size=0.05 的划分（即 35:5:60）。本实验初期尝试了 70:15:15 分割，但发现该方案导致测试期集中在 6-7 月暑假，加剧了分布漂移问题——部分机构测试期流量均值骤降至训练期的万分之一以下。切换至 35:5:60 后，LSTM 的 R² 中位数从 0.031 提升至 0.098，极端异常序列从 5 条降至 2 条。</w:t>
      </w:r>
    </w:p>
    <w:p w14:paraId="5A50139D">
      <w:pPr>
        <w:pStyle w:val="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标准化</w:t>
      </w:r>
      <w:r>
        <w:rPr>
          <w:rFonts w:hint="default" w:ascii="Times New Roman" w:hAnsi="Times New Roman" w:eastAsia="宋体" w:cs="Times New Roman"/>
        </w:rPr>
        <w:t>：论文使用 MinMaxScaler 将数据缩放到 [0,1]。本实验选择 Z-score 标准化：</w:t>
      </w:r>
    </w:p>
    <w:p w14:paraId="55B972A4">
      <w:pPr>
        <w:pStyle w:val="7"/>
        <w:spacing w:line="240" w:lineRule="auto"/>
        <w:rPr>
          <w:rFonts w:hint="default" w:ascii="Times New Roman" w:hAnsi="Times New Roman" w:eastAsia="宋体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z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</w:rPr>
              </m:ctrlPr>
            </m:fPr>
            <m:num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x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μ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train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σ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train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</w:rPr>
              </m:ctrlPr>
            </m:den>
          </m:f>
        </m:oMath>
      </m:oMathPara>
    </w:p>
    <w:bookmarkEnd w:id="5"/>
    <w:p w14:paraId="3D5CE313">
      <w:pPr>
        <w:pStyle w:val="37"/>
        <w:rPr>
          <w:rFonts w:hint="default" w:ascii="Times New Roman" w:hAnsi="Times New Roman" w:eastAsia="宋体" w:cs="Times New Roman"/>
        </w:rPr>
      </w:pPr>
      <w:bookmarkStart w:id="6" w:name="模型"/>
      <w:r>
        <w:rPr>
          <w:rFonts w:hint="default" w:ascii="Times New Roman" w:hAnsi="Times New Roman" w:eastAsia="宋体" w:cs="Times New Roman"/>
        </w:rPr>
        <w:t>选择 Z-score 而非 MinMax 的理由：网络流量呈长尾分布（少数时间流量极高，大部分流量在常规区间），MinMax 会被极端最大值压扁正常区间的差异。Z-score 以标准差为单位，对异常值更鲁棒。两种标准化方式下的模型排名趋势一致。</w:t>
      </w:r>
    </w:p>
    <w:p w14:paraId="32AF9DCE">
      <w:pPr>
        <w:pStyle w:val="4"/>
        <w:numPr>
          <w:ilvl w:val="2"/>
          <w:numId w:val="0"/>
        </w:numPr>
        <w:spacing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3.3 模型</w:t>
      </w:r>
    </w:p>
    <w:p w14:paraId="46B400D4">
      <w:pPr>
        <w:pStyle w:val="37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论文对比了 10 个模型，本实验选取其中最具代表性的 4 个：Mean（最简基线）、SARIMA（统计基线）、LSTM（循环神经网络代表）、GRU（循环神经网络代表）。</w:t>
      </w:r>
    </w:p>
    <w:p w14:paraId="7EDF4401">
      <w:pPr>
        <w:pStyle w:val="7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Mean 基线</w:t>
      </w:r>
      <w:r>
        <w:rPr>
          <w:rFonts w:hint="default" w:ascii="Times New Roman" w:hAnsi="Times New Roman" w:eastAsia="宋体" w:cs="Times New Roman"/>
        </w:rPr>
        <w:t>：预测值 = 输入窗口的均值，作为性能下限参考。取输入窗口的均值作为预测值。这是最简单的基线，作为性能下限参考。它的核心假设是”未来等于过去的平均”，显然无法捕捉任何动态模式。</w:t>
      </w:r>
    </w:p>
    <w:p w14:paraId="5752D667">
      <w:pPr>
        <w:pStyle w:val="7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SARIMA</w:t>
      </w:r>
      <w:r>
        <w:rPr>
          <w:rFonts w:hint="default" w:ascii="Times New Roman" w:hAnsi="Times New Roman" w:eastAsia="宋体" w:cs="Times New Roman"/>
        </w:rPr>
        <w:t>：Seasonal ARIMA，在 ARIMA 的自回归（AR）和滑动平均（MA）基础上加入季节性分量（S）。其参数 (p,d,q)(P,D,Q,s) 分别控制非季节/季节的自回归阶数、差分次数、滑动平均阶数，s 为周期长度（本实验中 s=24，小时级日周期）。与论文的静态评估不同，本实验对 SARIMA 采用滚动预测策略：每到达一个测试窗口，用截至当前的全部历史数据重新拟合，再进行预测。这使得 SARIMA 获得了与 DL 模型相同的”逐窗口独立预测”能力。</w:t>
      </w:r>
    </w:p>
    <w:p w14:paraId="14F0F75F">
      <w:pPr>
        <w:pStyle w:val="7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LSTM</w:t>
      </w:r>
      <w:r>
        <w:rPr>
          <w:rFonts w:hint="default" w:ascii="Times New Roman" w:hAnsi="Times New Roman" w:eastAsia="宋体" w:cs="Times New Roman"/>
        </w:rPr>
        <w:t>：通过遗忘门、输入门、输出门三个门控机制控制信息流，解决传统 RNN 的梯度消失问题。本实验采用双向单层 LSTM（hidden_size=100），双向结构允许模型同时利用时间步前后的上下文信息。</w:t>
      </w:r>
    </w:p>
    <w:p w14:paraId="2673C5AC">
      <w:pPr>
        <w:pStyle w:val="7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GRU</w:t>
      </w:r>
      <w:r>
        <w:rPr>
          <w:rFonts w:hint="default" w:ascii="Times New Roman" w:hAnsi="Times New Roman" w:eastAsia="宋体" w:cs="Times New Roman"/>
        </w:rPr>
        <w:t>：将 LSTM 的遗忘门和输入门合并为更新门，参数量减少约 1/3，计算效率更高。结构与超参数与 LSTM 一致。论文指出 GRU 在该数据集上以更少的参数实现了与 LSTM 相当甚至略优的性能。</w:t>
      </w:r>
    </w:p>
    <w:bookmarkEnd w:id="3"/>
    <w:bookmarkEnd w:id="6"/>
    <w:p w14:paraId="25CAE032">
      <w:pPr>
        <w:pStyle w:val="3"/>
        <w:numPr>
          <w:ilvl w:val="1"/>
          <w:numId w:val="0"/>
        </w:numPr>
        <w:spacing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7" w:name="实验设置"/>
      <w:r>
        <w:rPr>
          <w:rFonts w:hint="default" w:ascii="Times New Roman" w:hAnsi="Times New Roman" w:eastAsia="宋体" w:cs="Times New Roman"/>
        </w:rPr>
        <w:t>4. 实验设置</w:t>
      </w:r>
    </w:p>
    <w:p w14:paraId="1ED13361">
      <w:pPr>
        <w:pStyle w:val="4"/>
        <w:numPr>
          <w:ilvl w:val="2"/>
          <w:numId w:val="0"/>
        </w:numPr>
        <w:spacing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8" w:name="超参数配置"/>
      <w:r>
        <w:rPr>
          <w:rFonts w:hint="default" w:ascii="Times New Roman" w:hAnsi="Times New Roman" w:eastAsia="宋体" w:cs="Times New Roman"/>
        </w:rPr>
        <w:t>4.1 超参数配置</w:t>
      </w:r>
    </w:p>
    <w:tbl>
      <w:tblPr>
        <w:tblStyle w:val="5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812"/>
        <w:gridCol w:w="683"/>
        <w:gridCol w:w="1068"/>
        <w:gridCol w:w="730"/>
      </w:tblGrid>
      <w:tr w14:paraId="4EAE1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4088D433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  <w:t>参数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1C658F5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  <w:t>LSTM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D625540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  <w:t>GRU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91516B9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  <w:t>SARIMA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30B3D87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  <w:t>Mean</w:t>
            </w:r>
          </w:p>
        </w:tc>
      </w:tr>
      <w:tr w14:paraId="2FB98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5A9D036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hidden_size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D105873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100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E139907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100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8D1B473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098FECF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</w:t>
            </w:r>
          </w:p>
        </w:tc>
      </w:tr>
      <w:tr w14:paraId="7AA866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018685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num_layers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494DF4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00459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4A6AAD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99EDF9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</w:t>
            </w:r>
          </w:p>
        </w:tc>
      </w:tr>
      <w:tr w14:paraId="06459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322A4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bidirectional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0B2AF4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True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56537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True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211DEC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1DD550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</w:t>
            </w:r>
          </w:p>
        </w:tc>
      </w:tr>
      <w:tr w14:paraId="633E2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464951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learning_rate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3ED4DB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5D8B61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3F5943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90B142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</w:t>
            </w:r>
          </w:p>
        </w:tc>
      </w:tr>
      <w:tr w14:paraId="3F024B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035173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epochs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BBFBA0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406C2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C9BEDB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10C86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</w:t>
            </w:r>
          </w:p>
        </w:tc>
      </w:tr>
      <w:tr w14:paraId="5FE3D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8F32E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patience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0AA9C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A7D870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781B7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617E79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</w:t>
            </w:r>
          </w:p>
        </w:tc>
      </w:tr>
      <w:tr w14:paraId="21220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D1A47C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batch_size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74CD3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B956C3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16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F0E227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7020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</w:t>
            </w:r>
          </w:p>
        </w:tc>
      </w:tr>
      <w:tr w14:paraId="577B8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229B6E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order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A0238C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80EEC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997456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(1,0,1)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F21052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</w:t>
            </w:r>
          </w:p>
        </w:tc>
      </w:tr>
      <w:tr w14:paraId="1717B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507A7A6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seasonal_order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02F89F8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126DF0E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9A5EC52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(1,0,1,24)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56BA61D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</w:t>
            </w:r>
          </w:p>
        </w:tc>
      </w:tr>
      <w:bookmarkEnd w:id="8"/>
    </w:tbl>
    <w:p w14:paraId="3CEE03B8">
      <w:pPr>
        <w:pStyle w:val="4"/>
        <w:numPr>
          <w:ilvl w:val="2"/>
          <w:numId w:val="0"/>
        </w:numPr>
        <w:spacing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9" w:name="评估指标"/>
      <w:r>
        <w:rPr>
          <w:rFonts w:hint="default" w:ascii="Times New Roman" w:hAnsi="Times New Roman" w:eastAsia="宋体" w:cs="Times New Roman"/>
        </w:rPr>
        <w:t>4.2 评估指标</w:t>
      </w:r>
    </w:p>
    <w:p w14:paraId="0E84F465">
      <w:pPr>
        <w:pStyle w:val="3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采用论文使用的三个指标。所有指标均在反标准化后的原始尺度上计算。</w:t>
      </w:r>
    </w:p>
    <w:p w14:paraId="00A741AD">
      <w:pPr>
        <w:pStyle w:val="37"/>
        <w:spacing w:line="240" w:lineRule="auto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t>RMSE（均方根误差）：</w:t>
      </w:r>
    </w:p>
    <w:p w14:paraId="0477517B">
      <w:pPr>
        <w:pStyle w:val="7"/>
        <w:spacing w:line="240" w:lineRule="auto"/>
        <w:rPr>
          <w:rFonts w:hint="default" w:ascii="Times New Roman" w:hAnsi="Times New Roman" w:eastAsia="宋体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RMSE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eastAsia="宋体" w:cs="Times New Roman"/>
                </w:rPr>
              </m:ctrlPr>
            </m:radPr>
            <m:deg>
              <m:ctrlPr>
                <w:rPr>
                  <w:rFonts w:hint="default" w:ascii="Cambria Math" w:hAnsi="Cambria Math" w:eastAsia="宋体" w:cs="Times New Roman"/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1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den>
              </m:f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宋体" w:cs="Times New Roman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=1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(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y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acc>
                    <m:acc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)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</w:rPr>
              </m:ctrlPr>
            </m:e>
          </m:rad>
        </m:oMath>
      </m:oMathPara>
    </w:p>
    <w:p w14:paraId="54D2AD50">
      <w:pPr>
        <w:pStyle w:val="37"/>
        <w:spacing w:line="240" w:lineRule="auto"/>
        <w:rPr>
          <w:rFonts w:hint="default" w:ascii="Times New Roman" w:hAnsi="Times New Roman" w:eastAsia="宋体" w:cs="Times New Roman"/>
          <w:b/>
          <w:bCs/>
        </w:rPr>
      </w:pPr>
    </w:p>
    <w:p w14:paraId="7E2582DA">
      <w:pPr>
        <w:pStyle w:val="37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RMSE 衡量预测值与真实值之间的平均偏差，取值范围 [0, ∞)。由于对误差取平方后再开方，RMSE 对大误差的惩罚比 MAE 更重——这意味着一个模型如果有少数极端糟糕的预测，其 RMSE 会显著上升。在 ISP 流量场景中，RMSE 反映的是预测误差的绝对大小，受机构流量量级影响大。</w:t>
      </w:r>
    </w:p>
    <w:p w14:paraId="2C836776">
      <w:pPr>
        <w:pStyle w:val="7"/>
        <w:rPr>
          <w:rFonts w:hint="default"/>
        </w:rPr>
      </w:pPr>
    </w:p>
    <w:p w14:paraId="5A6BFDE2">
      <w:pPr>
        <w:pStyle w:val="37"/>
        <w:spacing w:line="240" w:lineRule="auto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t>R²（决定系数）：</w:t>
      </w:r>
    </w:p>
    <w:p w14:paraId="0D946623">
      <w:pPr>
        <w:pStyle w:val="7"/>
        <w:spacing w:line="240" w:lineRule="auto"/>
        <w:rPr>
          <w:rFonts w:hint="default" w:ascii="Times New Roman" w:hAnsi="Times New Roman" w:eastAsia="宋体" w:cs="Times New Roman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default" w:ascii="Cambria Math" w:hAnsi="Cambria Math" w:eastAsia="宋体" w:cs="Times New Roman"/>
                </w:rPr>
              </m:ctrlPr>
            </m:sSup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R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</w:rPr>
            <m:t>=1−</m:t>
          </m:r>
          <m:f>
            <m:fPr>
              <m:ctrlPr>
                <w:rPr>
                  <w:rFonts w:hint="default" w:ascii="Cambria Math" w:hAnsi="Cambria Math" w:eastAsia="宋体" w:cs="Times New Roman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宋体" w:cs="Times New Roman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=1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(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y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acc>
                    <m:acc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acc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)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</w:rPr>
              </m:ctrlPr>
            </m:num>
            <m:den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宋体" w:cs="Times New Roman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i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=1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(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y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μ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hint="default" w:ascii="Times New Roman" w:hAnsi="Times New Roman" w:eastAsia="宋体" w:cs="Times New Roman"/>
                      <w:i/>
                    </w:rPr>
                    <m:t>y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)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</w:rPr>
              </m:ctrlPr>
            </m:den>
          </m:f>
        </m:oMath>
      </m:oMathPara>
    </w:p>
    <w:p w14:paraId="0035CE77">
      <w:pPr>
        <w:pStyle w:val="37"/>
        <w:spacing w:line="240" w:lineRule="auto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</w:rPr>
        <w:t>R² 衡量模型相比”直接猜均值”的改进程度。R²=1 表示完美预测，R²=0 表示模型效果与猜均值相当，R²&lt;0 表示模型比猜均值还差。需要特别注意的是：当测试集分布与训练集存在显著差异时，R² 可能出现极端负值（本实验中观察到 -10</w:t>
      </w:r>
      <w:r>
        <w:rPr>
          <w:rFonts w:hint="default" w:ascii="Times New Roman" w:hAnsi="Times New Roman" w:eastAsia="宋体" w:cs="Times New Roman"/>
          <w:vertAlign w:val="superscript"/>
        </w:rPr>
        <w:t>9</w:t>
      </w:r>
      <w:r>
        <w:rPr>
          <w:rFonts w:hint="default" w:ascii="Times New Roman" w:hAnsi="Times New Roman" w:eastAsia="宋体" w:cs="Times New Roman"/>
        </w:rPr>
        <w:t xml:space="preserve"> 量级），此时均值失去意义，应以中位数作为主要参考。</w:t>
      </w:r>
    </w:p>
    <w:p w14:paraId="346BC227">
      <w:pPr>
        <w:pStyle w:val="37"/>
        <w:spacing w:line="240" w:lineRule="auto"/>
        <w:rPr>
          <w:rFonts w:hint="default" w:ascii="Times New Roman" w:hAnsi="Times New Roman" w:eastAsia="宋体" w:cs="Times New Roman"/>
          <w:b/>
          <w:bCs/>
        </w:rPr>
      </w:pPr>
    </w:p>
    <w:p w14:paraId="223B47AF">
      <w:pPr>
        <w:pStyle w:val="37"/>
        <w:spacing w:line="240" w:lineRule="auto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t>sMAPE（对称平均绝对百分比误差）：</w:t>
      </w:r>
    </w:p>
    <w:p w14:paraId="16E548C3">
      <w:pPr>
        <w:pStyle w:val="7"/>
        <w:spacing w:line="240" w:lineRule="auto"/>
        <w:rPr>
          <w:rFonts w:hint="default" w:ascii="Times New Roman" w:hAnsi="Times New Roman" w:eastAsia="宋体" w:cs="Times New Roman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</w:rPr>
            <m:t>sMAPE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</w:rPr>
                <m:t>100%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N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default" w:ascii="Cambria Math" w:hAnsi="Cambria Math" w:eastAsia="宋体" w:cs="Times New Roman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i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</w:rPr>
                <m:t>=1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  <m:sup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</w:rPr>
                <m:t>N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  <m:e>
              <m:f>
                <m:f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fPr>
                <m:num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2|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hint="default" w:ascii="Cambria Math" w:hAnsi="Cambria Math" w:eastAsia="宋体" w:cs="Times New Roman"/>
                            </w:rPr>
                          </m:ctrlPr>
                        </m:acc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|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|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|+|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hint="default" w:ascii="Cambria Math" w:hAnsi="Cambria Math" w:eastAsia="宋体" w:cs="Times New Roman"/>
                            </w:rPr>
                          </m:ctrlPr>
                        </m:accPr>
                        <m:e>
                          <m:r>
                            <m:rPr>
                              <m:nor/>
                            </m:rPr>
                            <w:rPr>
                              <w:rFonts w:hint="default" w:ascii="Times New Roman" w:hAnsi="Times New Roman" w:eastAsia="宋体" w:cs="Times New Roman"/>
                              <w:i/>
                            </w:rPr>
                            <m:t>y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  <m:sub>
                      <m:r>
                        <m:rPr>
                          <m:nor/>
                        </m:rPr>
                        <w:rPr>
                          <w:rFonts w:hint="default" w:ascii="Times New Roman" w:hAnsi="Times New Roman" w:eastAsia="宋体" w:cs="Times New Roman"/>
                          <w:i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宋体" w:cs="Times New Roman"/>
                      <w:b w:val="0"/>
                      <w:i w:val="0"/>
                    </w:rPr>
                    <m:t>|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den>
              </m:f>
              <m:ctrlPr>
                <w:rPr>
                  <w:rFonts w:hint="default" w:ascii="Cambria Math" w:hAnsi="Cambria Math" w:eastAsia="宋体" w:cs="Times New Roman"/>
                </w:rPr>
              </m:ctrlPr>
            </m:e>
          </m:nary>
        </m:oMath>
      </m:oMathPara>
    </w:p>
    <w:bookmarkEnd w:id="9"/>
    <w:p w14:paraId="3A6FA635">
      <w:pPr>
        <w:pStyle w:val="37"/>
        <w:rPr>
          <w:rFonts w:hint="default" w:ascii="Times New Roman" w:hAnsi="Times New Roman" w:eastAsia="宋体" w:cs="Times New Roman"/>
        </w:rPr>
      </w:pPr>
      <w:bookmarkStart w:id="10" w:name="实验环境"/>
      <w:r>
        <w:rPr>
          <w:rFonts w:hint="default" w:ascii="Times New Roman" w:hAnsi="Times New Roman" w:eastAsia="宋体" w:cs="Times New Roman"/>
        </w:rPr>
        <w:t>sMAPE 以百分比形式衡量相对误差，取值范围 [0%, 200%]。与 MAPE 不同，sMAPE 的分母同时包含真实值和预测值，避免了对预测值接近零时的放大效应。当 yi=ŷi=0 时该点不参与计算。</w:t>
      </w:r>
    </w:p>
    <w:p w14:paraId="5E491C80">
      <w:pPr>
        <w:pStyle w:val="4"/>
        <w:numPr>
          <w:ilvl w:val="2"/>
          <w:numId w:val="0"/>
        </w:numPr>
        <w:spacing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</w:p>
    <w:p w14:paraId="49EEDE3A">
      <w:pPr>
        <w:pStyle w:val="4"/>
        <w:numPr>
          <w:ilvl w:val="2"/>
          <w:numId w:val="0"/>
        </w:numPr>
        <w:spacing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4.3 实验环境</w:t>
      </w:r>
    </w:p>
    <w:p w14:paraId="122BF857">
      <w:pPr>
        <w:pStyle w:val="38"/>
        <w:numPr>
          <w:ilvl w:val="0"/>
          <w:numId w:val="2"/>
        </w:numPr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GPU：NVIDIA GeForce RTX 5060 Laptop (CUDA 12.8)</w:t>
      </w:r>
    </w:p>
    <w:p w14:paraId="7862F88D">
      <w:pPr>
        <w:pStyle w:val="38"/>
        <w:numPr>
          <w:ilvl w:val="0"/>
          <w:numId w:val="2"/>
        </w:numPr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框架：PyTorch 2.11.0（纯 torch.nn，无高层封装）</w:t>
      </w:r>
    </w:p>
    <w:p w14:paraId="66DABF0E">
      <w:pPr>
        <w:pStyle w:val="38"/>
        <w:numPr>
          <w:ilvl w:val="0"/>
          <w:numId w:val="2"/>
        </w:numPr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统计模型：statsmodels 0.14</w:t>
      </w:r>
    </w:p>
    <w:p w14:paraId="6D116832">
      <w:pPr>
        <w:pStyle w:val="38"/>
        <w:numPr>
          <w:ilvl w:val="0"/>
          <w:numId w:val="2"/>
        </w:numPr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环境管理：uv，Python 3.12</w:t>
      </w:r>
    </w:p>
    <w:bookmarkEnd w:id="7"/>
    <w:bookmarkEnd w:id="10"/>
    <w:p w14:paraId="2D350DD7">
      <w:pPr>
        <w:pStyle w:val="3"/>
        <w:numPr>
          <w:ilvl w:val="1"/>
          <w:numId w:val="0"/>
        </w:numPr>
        <w:spacing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11" w:name="结果与分析"/>
      <w:r>
        <w:rPr>
          <w:rFonts w:hint="default" w:ascii="Times New Roman" w:hAnsi="Times New Roman" w:eastAsia="宋体" w:cs="Times New Roman"/>
        </w:rPr>
        <w:t>5. 结果与分析</w:t>
      </w:r>
    </w:p>
    <w:p w14:paraId="5C9C847F">
      <w:pPr>
        <w:pStyle w:val="4"/>
        <w:numPr>
          <w:ilvl w:val="2"/>
          <w:numId w:val="0"/>
        </w:numPr>
        <w:spacing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12" w:name="模型整体对比"/>
      <w:r>
        <w:rPr>
          <w:rFonts w:hint="default" w:ascii="Times New Roman" w:hAnsi="Times New Roman" w:eastAsia="宋体" w:cs="Times New Roman"/>
        </w:rPr>
        <w:t>5.1 模型整体对比</w:t>
      </w:r>
    </w:p>
    <w:p w14:paraId="564A8973">
      <w:pPr>
        <w:pStyle w:val="37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在 </w:t>
      </w:r>
      <w:r>
        <w:t>237</w:t>
      </w:r>
      <w:r>
        <w:rPr>
          <w:rFonts w:hint="default" w:ascii="Times New Roman" w:hAnsi="Times New Roman" w:eastAsia="宋体" w:cs="Times New Roman"/>
        </w:rPr>
        <w:t>条机构级时间序列上的对比结果（窗口 (24,24)，35:5:60 分割）：</w:t>
      </w:r>
    </w:p>
    <w:tbl>
      <w:tblPr>
        <w:tblStyle w:val="5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1"/>
        <w:gridCol w:w="1678"/>
        <w:gridCol w:w="1116"/>
        <w:gridCol w:w="1130"/>
        <w:gridCol w:w="1508"/>
      </w:tblGrid>
      <w:tr w14:paraId="01659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tblHeader/>
          <w:jc w:val="center"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55B2002F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  <w:t>模型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4ABA7A3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  <w:t>R² 均值(裁剪后)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DE9D5E5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  <w:t>R² 中位数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1698041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  <w:t>R²&gt;0 占比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8C6221E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  <w:t>RMSE 中位数</w:t>
            </w:r>
          </w:p>
        </w:tc>
      </w:tr>
      <w:tr w14:paraId="705AD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0C73E80C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  <w:t>Mean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259E796F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0.005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0B49CDF0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-0.004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0543133E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46.7%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11CF699D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4.1e8</w:t>
            </w:r>
          </w:p>
        </w:tc>
      </w:tr>
      <w:tr w14:paraId="35993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89846F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  <w:t>LSTM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8405E7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0.071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B2B375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0.116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371DE0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83.5%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B3E389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4.6e8</w:t>
            </w:r>
          </w:p>
        </w:tc>
      </w:tr>
      <w:tr w14:paraId="716A5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68DC6B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  <w:t>GRU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64D464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0.118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9401A6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/>
              </w:rPr>
              <w:t>0.145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7AC5DE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81.1%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3CF490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4.5e8</w:t>
            </w:r>
          </w:p>
        </w:tc>
      </w:tr>
      <w:tr w14:paraId="3CD3C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C2F0C9" w:themeFill="accent3" w:themeFillTint="32"/>
          </w:tcPr>
          <w:p w14:paraId="700582DB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  <w:t>SARIMA（滚动）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C2F0C9" w:themeFill="accent3" w:themeFillTint="32"/>
          </w:tcPr>
          <w:p w14:paraId="1440F2FF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</w:rPr>
              <w:t>0.175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C2F0C9" w:themeFill="accent3" w:themeFillTint="32"/>
          </w:tcPr>
          <w:p w14:paraId="5DB66F2F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</w:rPr>
              <w:t>0.183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C2F0C9" w:themeFill="accent3" w:themeFillTint="32"/>
          </w:tcPr>
          <w:p w14:paraId="12C47519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</w:rPr>
              <w:t>91.5%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C2F0C9" w:themeFill="accent3" w:themeFillTint="32"/>
          </w:tcPr>
          <w:p w14:paraId="2AD274C4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color w:val="000000"/>
              </w:rPr>
              <w:t>4.1e8</w:t>
            </w:r>
          </w:p>
        </w:tc>
      </w:tr>
    </w:tbl>
    <w:p w14:paraId="46FD2172">
      <w:pPr>
        <w:pStyle w:val="61"/>
        <w:spacing w:line="240" w:lineRule="auto"/>
        <w:rPr>
          <w:rFonts w:hint="default" w:ascii="Times New Roman" w:hAnsi="Times New Roman" w:eastAsia="宋体" w:cs="Times New Roman"/>
        </w:rPr>
        <w:sectPr>
          <w:footnotePr>
            <w:numRestart w:val="eachSect"/>
          </w:footnotePr>
          <w:type w:val="continuous"/>
          <w:pgMar w:top="1440" w:right="1080" w:bottom="1440" w:left="1080" w:header="720" w:footer="720" w:gutter="0"/>
          <w:cols w:space="720" w:num="1"/>
        </w:sectPr>
      </w:pPr>
    </w:p>
    <w:p w14:paraId="385EBB06">
      <w:pPr>
        <w:pStyle w:val="61"/>
        <w:spacing w:line="240" w:lineRule="auto"/>
        <w:rPr>
          <w:rFonts w:hint="default" w:ascii="Times New Roman" w:hAnsi="Times New Roman" w:eastAsia="宋体" w:cs="Times New Roman"/>
        </w:rPr>
      </w:pPr>
    </w:p>
    <w:p w14:paraId="3B5A3259">
      <w:pPr>
        <w:pStyle w:val="61"/>
        <w:spacing w:line="240" w:lineRule="auto"/>
        <w:rPr>
          <w:rFonts w:hint="default" w:ascii="Times New Roman" w:hAnsi="Times New Roman" w:eastAsia="宋体" w:cs="Times New Roman"/>
        </w:rPr>
      </w:pPr>
    </w:p>
    <w:p w14:paraId="27040FA2">
      <w:pPr>
        <w:pStyle w:val="61"/>
        <w:spacing w:line="240" w:lineRule="auto"/>
        <w:rPr>
          <w:rFonts w:hint="default" w:ascii="Times New Roman" w:hAnsi="Times New Roman" w:eastAsia="宋体" w:cs="Times New Roman"/>
        </w:rPr>
        <w:sectPr>
          <w:footnotePr>
            <w:numRestart w:val="eachSect"/>
          </w:footnotePr>
          <w:type w:val="continuous"/>
          <w:pgMar w:top="1440" w:right="1080" w:bottom="1440" w:left="1080" w:header="720" w:footer="720" w:gutter="0"/>
          <w:cols w:space="425" w:num="1"/>
        </w:sectPr>
      </w:pPr>
    </w:p>
    <w:p w14:paraId="4CAAD9F2">
      <w:pPr>
        <w:pStyle w:val="61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3136265" cy="967105"/>
            <wp:effectExtent l="0" t="0" r="635" b="10795"/>
            <wp:docPr id="44" name="Picture" descr="R²分布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R²分布对比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967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9E2993">
      <w:pPr>
        <w:pStyle w:val="7"/>
        <w:spacing w:line="240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图 9：R² 分布对比</w:t>
      </w:r>
    </w:p>
    <w:p w14:paraId="4A292DC6">
      <w:pPr>
        <w:pStyle w:val="61"/>
        <w:spacing w:line="240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drawing>
          <wp:inline distT="0" distB="0" distL="114300" distR="114300">
            <wp:extent cx="2055495" cy="1017905"/>
            <wp:effectExtent l="0" t="0" r="1905" b="10795"/>
            <wp:docPr id="47" name="Picture" descr="窗口配置趋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窗口配置趋势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1017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345206">
      <w:pPr>
        <w:pStyle w:val="7"/>
        <w:spacing w:line="240" w:lineRule="auto"/>
        <w:rPr>
          <w:rFonts w:hint="default" w:ascii="Times New Roman" w:hAnsi="Times New Roman" w:eastAsia="宋体" w:cs="Times New Roman"/>
          <w:i w:val="0"/>
          <w:iCs w:val="0"/>
        </w:rPr>
      </w:pPr>
      <w:r>
        <w:rPr>
          <w:rFonts w:hint="default" w:ascii="Times New Roman" w:hAnsi="Times New Roman" w:eastAsia="宋体" w:cs="Times New Roman"/>
          <w:i w:val="0"/>
          <w:iCs w:val="0"/>
        </w:rPr>
        <w:t>图 10：不同窗口配置 R² 趋势</w:t>
      </w:r>
    </w:p>
    <w:p w14:paraId="36518567">
      <w:pPr>
        <w:pStyle w:val="7"/>
        <w:spacing w:line="240" w:lineRule="auto"/>
        <w:rPr>
          <w:rFonts w:hint="default" w:ascii="Times New Roman" w:hAnsi="Times New Roman" w:eastAsia="宋体" w:cs="Times New Roman"/>
        </w:rPr>
        <w:sectPr>
          <w:footnotePr>
            <w:numRestart w:val="eachSect"/>
          </w:footnotePr>
          <w:type w:val="continuous"/>
          <w:pgMar w:top="1440" w:right="1080" w:bottom="1440" w:left="1080" w:header="720" w:footer="720" w:gutter="0"/>
          <w:cols w:equalWidth="0" w:num="2">
            <w:col w:w="4827" w:space="425"/>
            <w:col w:w="4827"/>
          </w:cols>
        </w:sectPr>
      </w:pPr>
    </w:p>
    <w:p w14:paraId="58A3FEC3">
      <w:pPr>
        <w:pStyle w:val="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核心结论：</w:t>
      </w:r>
      <w:r>
        <w:rPr>
          <w:rFonts w:hint="default" w:ascii="Times New Roman" w:hAnsi="Times New Roman" w:eastAsia="宋体" w:cs="Times New Roman"/>
        </w:rPr>
        <w:t>GRU 和 LSTM 均显著优于 Mean 基线。GRU 的 R² 中位数 0.136 高于 LSTM 的 0.113，两者相差不大，但头对头对比中 GRU 胜出 56.5%，这与论文”GRU ≈ LSTM 且 GRU 略优”的结论一致。SARIMA 在滚动预测下 R² 中位数达 0.183，甚至略优于 LSTM 和 GRU，这与论文”SARIMA 在所有模型中垫底”的结论形成鲜明对比。</w:t>
      </w:r>
    </w:p>
    <w:p w14:paraId="5F01066C">
      <w:pPr>
        <w:pStyle w:val="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与论文的差异原因：</w:t>
      </w:r>
      <w:r>
        <w:rPr>
          <w:rFonts w:hint="default" w:ascii="Times New Roman" w:hAnsi="Times New Roman" w:eastAsia="宋体" w:cs="Times New Roman"/>
        </w:rPr>
        <w:t>论文对 SARIMA 仅做一次全局拟合，单一预测结果复制给所有测试窗口，这严重限制了统计模型的表达能力。本实验的滚动预测策略使 SARIMA 获得公平竞争的机会。</w:t>
      </w:r>
    </w:p>
    <w:bookmarkEnd w:id="12"/>
    <w:p w14:paraId="6B52C408">
      <w:pPr>
        <w:pStyle w:val="4"/>
        <w:numPr>
          <w:ilvl w:val="2"/>
          <w:numId w:val="0"/>
        </w:numPr>
        <w:spacing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13" w:name="窗口配置对比"/>
    </w:p>
    <w:p w14:paraId="6396D90E">
      <w:pPr>
        <w:pStyle w:val="4"/>
        <w:numPr>
          <w:ilvl w:val="2"/>
          <w:numId w:val="0"/>
        </w:numPr>
        <w:spacing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5.2 窗口配置对比</w:t>
      </w:r>
    </w:p>
    <w:p w14:paraId="1CB87335">
      <w:pPr>
        <w:rPr>
          <w:rFonts w:hint="default"/>
        </w:rPr>
      </w:pPr>
    </w:p>
    <w:tbl>
      <w:tblPr>
        <w:tblStyle w:val="5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"/>
        <w:gridCol w:w="1764"/>
        <w:gridCol w:w="1635"/>
      </w:tblGrid>
      <w:tr w14:paraId="4A250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2D5AD2E8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  <w:t>窗口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05A16D4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  <w:t>LSTM R² 中位数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AD1BE1A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/>
              </w:rPr>
              <w:t>GRU R² 中位数</w:t>
            </w:r>
          </w:p>
        </w:tc>
      </w:tr>
      <w:tr w14:paraId="1F311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F676D3C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(24,24)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6172A71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0.098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B7BE7BC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0.097</w:t>
            </w:r>
          </w:p>
        </w:tc>
      </w:tr>
      <w:tr w14:paraId="577C3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CE101F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(168,24)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2D232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0.095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C5AFD9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0.099</w:t>
            </w:r>
          </w:p>
        </w:tc>
      </w:tr>
      <w:tr w14:paraId="3D1AB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A62EA4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(168,168)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92B4BE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0.046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CC224A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0.063</w:t>
            </w:r>
          </w:p>
        </w:tc>
      </w:tr>
      <w:tr w14:paraId="250A6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73FC908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(744,168)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9C71DA9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0.032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A3CA751">
            <w:pPr>
              <w:pStyle w:val="38"/>
              <w:spacing w:line="240" w:lineRule="auto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0.047</w:t>
            </w:r>
          </w:p>
        </w:tc>
      </w:tr>
    </w:tbl>
    <w:p w14:paraId="12841C6E">
      <w:pPr>
        <w:pStyle w:val="7"/>
        <w:spacing w:line="240" w:lineRule="auto"/>
        <w:rPr>
          <w:rFonts w:hint="default" w:ascii="Times New Roman" w:hAnsi="Times New Roman" w:eastAsia="宋体" w:cs="Times New Roman"/>
        </w:rPr>
      </w:pPr>
    </w:p>
    <w:p w14:paraId="724666C0">
      <w:pPr>
        <w:pStyle w:val="7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随着预测窗口增大，模型性能呈下降趋势：</w:t>
      </w:r>
      <w:r>
        <w:rPr>
          <w:rFonts w:hint="default" w:ascii="Times New Roman" w:hAnsi="Times New Roman" w:eastAsia="宋体" w:cs="Times New Roman"/>
          <w:b/>
          <w:bCs/>
        </w:rPr>
        <w:t>短期预测（24h）显著优于长期预测（168h）</w:t>
      </w:r>
      <w:r>
        <w:rPr>
          <w:rFonts w:hint="default" w:ascii="Times New Roman" w:hAnsi="Times New Roman" w:eastAsia="宋体" w:cs="Times New Roman"/>
        </w:rPr>
        <w:t>。使用 1 个月的历史数据（744h）预测未来 1 周，其 R² 中位数不到短期预测的一半。这说明在该数据集上，流量预测的可靠性随预测跨度增加而明显衰减。</w:t>
      </w:r>
    </w:p>
    <w:p w14:paraId="41899EAE">
      <w:pPr>
        <w:pStyle w:val="7"/>
        <w:spacing w:line="240" w:lineRule="auto"/>
        <w:jc w:val="center"/>
        <w:rPr>
          <w:rFonts w:hint="default" w:ascii="Times New Roman" w:hAnsi="Times New Roman" w:eastAsia="宋体" w:cs="Times New Roman"/>
        </w:rPr>
      </w:pPr>
      <w:r>
        <w:drawing>
          <wp:inline distT="0" distB="0" distL="114300" distR="114300">
            <wp:extent cx="5334000" cy="2639695"/>
            <wp:effectExtent l="0" t="0" r="0" b="1905"/>
            <wp:docPr id="39" name="Picture" descr="窗口趋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窗口趋势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40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3"/>
    <w:p w14:paraId="33AC5576">
      <w:pPr>
        <w:pStyle w:val="4"/>
        <w:numPr>
          <w:ilvl w:val="2"/>
          <w:numId w:val="0"/>
        </w:numPr>
        <w:spacing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14" w:name="sarima-滚动预测的意义"/>
      <w:r>
        <w:rPr>
          <w:rFonts w:hint="default" w:ascii="Times New Roman" w:hAnsi="Times New Roman" w:eastAsia="宋体" w:cs="Times New Roman"/>
        </w:rPr>
        <w:t>5.3 SARIMA 滚动预测</w:t>
      </w:r>
    </w:p>
    <w:bookmarkEnd w:id="14"/>
    <w:p w14:paraId="3A68DE3B">
      <w:pPr>
        <w:pStyle w:val="37"/>
        <w:rPr>
          <w:rFonts w:hint="default" w:ascii="Times New Roman" w:hAnsi="Times New Roman" w:eastAsia="宋体" w:cs="Times New Roman"/>
        </w:rPr>
      </w:pPr>
      <w:bookmarkStart w:id="15" w:name="数据分布漂移的影响"/>
      <w:r>
        <w:rPr>
          <w:rFonts w:hint="default" w:ascii="Times New Roman" w:hAnsi="Times New Roman" w:eastAsia="宋体" w:cs="Times New Roman"/>
        </w:rPr>
        <w:t>论文报告 SARIMA 的效果在所有模型中垫底（R² 大面积负值），但这并非模型本身能力不足，而是评估方式的问题。论文的做法是在训练集上拟合一次 SARIMA，将固定预测结果（趋近历史均值）重复用于所有测试窗口。这忽视了滑动窗口评估框架的”逐窗口独立预测”特性，而 DL 模型恰好在这一框架下享有天然优势——每个测试窗口进行一次 forward 即可。</w:t>
      </w:r>
    </w:p>
    <w:p w14:paraId="6FCB0AA6">
      <w:pPr>
        <w:pStyle w:val="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本实验的滚动预测策略，对每个测试窗口都用截至当前的全部历史数据重新拟合 SARIMA，再预测未来 24 小时：</w:t>
      </w:r>
    </w:p>
    <w:p w14:paraId="5F53BAAF">
      <w:pPr>
        <w:pStyle w:val="64"/>
        <w:jc w:val="left"/>
        <w:rPr>
          <w:rFonts w:hint="default" w:ascii="Times New Roman" w:hAnsi="Times New Roman" w:cs="Times New Roman"/>
        </w:rPr>
      </w:pPr>
      <w:r>
        <w:rPr>
          <w:rStyle w:val="63"/>
          <w:rFonts w:hint="default" w:ascii="Times New Roman" w:hAnsi="Times New Roman" w:cs="Times New Roman"/>
        </w:rPr>
        <w:t>For each test window i: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3"/>
          <w:rFonts w:hint="default" w:ascii="Times New Roman" w:hAnsi="Times New Roman" w:cs="Times New Roman"/>
        </w:rPr>
        <w:t xml:space="preserve">  history = values[:forecast_start_i]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3"/>
          <w:rFonts w:hint="default" w:ascii="Times New Roman" w:hAnsi="Times New Roman" w:cs="Times New Roman"/>
        </w:rPr>
        <w:t xml:space="preserve">  SARIMA.fit(history) → forecast next 24h</w:t>
      </w:r>
    </w:p>
    <w:p w14:paraId="4C114F0A">
      <w:pPr>
        <w:pStyle w:val="3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滚动预测使 SARIMA 的 R² 中位数从论文报告的大面积负值提升至 0.183，说明在公平评估下传统统计模型仍有竞争力。这也部分揭示了该领域论文中 DL 模型总是大幅领先统计基线的原因之一——评估框架的设计可能隐含了对 DL 模型有利的假设。</w:t>
      </w:r>
    </w:p>
    <w:p w14:paraId="6D5E2741">
      <w:pPr>
        <w:pStyle w:val="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SARIMA 相比于 LSTM/GRU 的核心优势在于可解释性。以文件 0（大流量稳定机构）为例，拟合参数为：</w:t>
      </w:r>
    </w:p>
    <w:tbl>
      <w:tblPr>
        <w:tblStyle w:val="5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"/>
        <w:gridCol w:w="846"/>
        <w:gridCol w:w="4644"/>
      </w:tblGrid>
      <w:tr w14:paraId="601C6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1AD1B3CA">
            <w:pPr>
              <w:pStyle w:val="38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参数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76E529D">
            <w:pPr>
              <w:pStyle w:val="38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估计值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6D56473">
            <w:pPr>
              <w:pStyle w:val="38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解读</w:t>
            </w:r>
          </w:p>
        </w:tc>
      </w:tr>
      <w:tr w14:paraId="10A20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EE73DB1">
            <w:pPr>
              <w:pStyle w:val="38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AR(1)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6D7D6AB">
            <w:pPr>
              <w:pStyle w:val="38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0.905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FBD72B9">
            <w:pPr>
              <w:pStyle w:val="38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前一小时流量影响权重 90%，流量高度持续</w:t>
            </w:r>
          </w:p>
        </w:tc>
      </w:tr>
      <w:tr w14:paraId="06071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B047FB">
            <w:pPr>
              <w:pStyle w:val="38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SAR(24)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BB8E4">
            <w:pPr>
              <w:pStyle w:val="38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0.988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F9C23">
            <w:pPr>
              <w:pStyle w:val="38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昨天同一小时影响权重 99%，日周期是最强信号</w:t>
            </w:r>
          </w:p>
        </w:tc>
      </w:tr>
      <w:tr w14:paraId="573A6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6DF624">
            <w:pPr>
              <w:pStyle w:val="38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MA(1)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FA3E3B">
            <w:pPr>
              <w:pStyle w:val="38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-0.148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E9EA9A">
            <w:pPr>
              <w:pStyle w:val="38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短期误差修正，影响较弱</w:t>
            </w:r>
          </w:p>
        </w:tc>
      </w:tr>
      <w:tr w14:paraId="58E67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E918D5F">
            <w:pPr>
              <w:pStyle w:val="38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SMA(24)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4E59EFE3">
            <w:pPr>
              <w:pStyle w:val="38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-0.777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6D3D78F">
            <w:pPr>
              <w:pStyle w:val="38"/>
              <w:rPr>
                <w:rFonts w:hint="default" w:ascii="Times New Roman" w:hAnsi="Times New Roman" w:eastAsia="宋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</w:rPr>
              <w:t>日周期误差修正</w:t>
            </w:r>
          </w:p>
        </w:tc>
      </w:tr>
    </w:tbl>
    <w:p w14:paraId="6E88FAB5">
      <w:pPr>
        <w:pStyle w:val="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SAR(24)=0.988 意味着”今天下午 3 点的流量 ≈ 昨天下午 3 点的流量 × 0.99”——这一结论与 EDA 阶段 ACF 分析中 lag=24 处峰值一致。而 LSTM/GRU 的 100 维隐藏状态无法提供这类直观解读。</w:t>
      </w:r>
    </w:p>
    <w:p w14:paraId="6C6E903C">
      <w:pPr>
        <w:pStyle w:val="7"/>
        <w:rPr>
          <w:rFonts w:hint="default" w:ascii="Times New Roman" w:hAnsi="Times New Roman" w:eastAsia="宋体" w:cs="Times New Roman"/>
        </w:rPr>
      </w:pPr>
    </w:p>
    <w:p w14:paraId="7F99D9BE">
      <w:pPr>
        <w:pStyle w:val="4"/>
        <w:numPr>
          <w:ilvl w:val="2"/>
          <w:numId w:val="0"/>
        </w:numPr>
        <w:spacing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5.4 数据分布漂移的影响</w:t>
      </w:r>
    </w:p>
    <w:bookmarkEnd w:id="15"/>
    <w:p w14:paraId="77C3C499">
      <w:pPr>
        <w:pStyle w:val="37"/>
        <w:rPr>
          <w:rFonts w:hint="default" w:ascii="Times New Roman" w:hAnsi="Times New Roman" w:eastAsia="宋体" w:cs="Times New Roman"/>
        </w:rPr>
      </w:pPr>
      <w:bookmarkStart w:id="16" w:name="预测可视化"/>
      <w:r>
        <w:rPr>
          <w:rFonts w:hint="default" w:ascii="Times New Roman" w:hAnsi="Times New Roman" w:eastAsia="宋体" w:cs="Times New Roman"/>
        </w:rPr>
        <w:t>实验中发现部分机构级序列的 R² 出现极端负值（-10^5 ~ -10^9）。调查发现，这些序列的共同特征是测试集流量均值相对训练集骤降 10</w:t>
      </w:r>
      <w:r>
        <w:rPr>
          <w:rFonts w:hint="default" w:ascii="Times New Roman" w:hAnsi="Times New Roman" w:eastAsia="宋体" w:cs="Times New Roman"/>
          <w:vertAlign w:val="superscript"/>
        </w:rPr>
        <w:t>4~10</w:t>
      </w:r>
      <w:r>
        <w:rPr>
          <w:rFonts w:hint="default" w:ascii="Times New Roman" w:hAnsi="Times New Roman" w:eastAsia="宋体" w:cs="Times New Roman"/>
        </w:rPr>
        <w:t>5 倍。以文件 243 为例：训练集（2023-10 至 2024-04）均值为 1.3×10^8 字节，测试集（2024-06 至 2024-07）均值仅为 1.0×10^3 字节——流量骤降归因于该机构在暑假期间几乎停止运作。</w:t>
      </w:r>
    </w:p>
    <w:p w14:paraId="5FFE3183">
      <w:pPr>
        <w:pStyle w:val="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分布漂移对评估的影响体现在：Z-score 标准化使用训练集均值和标准差，当测试集分布与训练集完全不同时，模型预测在反标准化后仍停留在训练集尺度上，导致 RMSE 量级完全错位。更关键的是，R² 均值对这类极端异常值极其敏感——少数几条异常序列可将均值从合理范围（约 -0.5~0.5）拖至 -10^7 以下，使均值完全失去参考价值。</w:t>
      </w:r>
    </w:p>
    <w:p w14:paraId="786A42E4">
      <w:pPr>
        <w:pStyle w:val="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针对该问题，本实验比较了三种处理方案：(A) R² 裁剪 clip(-10,1)，(B) 截断 6-7 月数据，(C) 切换 35:5:60 分割。方案 C 效果最好，采用后 R² 中位数从 0.031 提升至 0.098，极端异常从 5 条降至 2 条。但该方案是缓解而非根除——剩余的极端异常出现在流量极低的序列上。建议在实验中统一报告 R² 中位数而非均值，以降低极端值的干扰。</w:t>
      </w:r>
    </w:p>
    <w:p w14:paraId="229CC831">
      <w:pPr>
        <w:pStyle w:val="7"/>
        <w:rPr>
          <w:rFonts w:hint="default" w:ascii="Times New Roman" w:hAnsi="Times New Roman" w:eastAsia="宋体" w:cs="Times New Roman"/>
        </w:rPr>
      </w:pPr>
    </w:p>
    <w:p w14:paraId="4DC86A71">
      <w:pPr>
        <w:pStyle w:val="4"/>
        <w:numPr>
          <w:ilvl w:val="2"/>
          <w:numId w:val="0"/>
        </w:numPr>
        <w:spacing w:line="240" w:lineRule="auto"/>
        <w:ind w:left="0" w:leftChars="0" w:firstLine="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5.5 预测</w:t>
      </w:r>
      <w:r>
        <w:rPr>
          <w:rFonts w:hint="default" w:ascii="Times New Roman" w:hAnsi="Times New Roman" w:eastAsia="宋体" w:cs="Times New Roman"/>
          <w:lang w:val="en-US" w:eastAsia="zh-CN"/>
        </w:rPr>
        <w:t>效果</w:t>
      </w:r>
    </w:p>
    <w:p w14:paraId="10F75BE2">
      <w:pPr>
        <w:pStyle w:val="7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以 file=0（大型机构）为例，LSTM 和 GRU 的预测曲线与实际值高度吻合，RMSE 约 1.8e10，R² 约 0.60-0.73。Mean 基线则表现为一条水平直线（全局均值），完全无法捕捉流量波动。对于 file=243 这样的强季节性机构，所有模型在测试期均表现不佳，反映了分布漂移的挑战。</w:t>
      </w:r>
    </w:p>
    <w:p w14:paraId="3C6C45BF">
      <w:pPr>
        <w:pStyle w:val="7"/>
        <w:spacing w:line="240" w:lineRule="auto"/>
        <w:rPr>
          <w:rFonts w:hint="default" w:ascii="Times New Roman" w:hAnsi="Times New Roman" w:eastAsia="宋体" w:cs="Times New Roman"/>
          <w:lang w:eastAsia="zh-CN"/>
        </w:rPr>
        <w:sectPr>
          <w:footnotePr>
            <w:numRestart w:val="eachSect"/>
          </w:footnotePr>
          <w:type w:val="continuous"/>
          <w:pgMar w:top="1440" w:right="1080" w:bottom="1440" w:left="1080" w:header="720" w:footer="720" w:gutter="0"/>
          <w:cols w:space="720" w:num="1"/>
        </w:sectPr>
      </w:pPr>
    </w:p>
    <w:p w14:paraId="018CF08E">
      <w:pPr>
        <w:pStyle w:val="7"/>
        <w:spacing w:line="240" w:lineRule="auto"/>
        <w:rPr>
          <w:rFonts w:hint="default" w:ascii="Times New Roman" w:hAnsi="Times New Roman" w:eastAsia="宋体" w:cs="Times New Roman"/>
          <w:lang w:eastAsia="zh-CN"/>
        </w:rPr>
      </w:pPr>
    </w:p>
    <w:bookmarkEnd w:id="11"/>
    <w:bookmarkEnd w:id="16"/>
    <w:p w14:paraId="7EAF2CEB">
      <w:pPr>
        <w:pStyle w:val="3"/>
        <w:spacing w:line="240" w:lineRule="auto"/>
        <w:rPr>
          <w:rFonts w:hint="default" w:ascii="Times New Roman" w:hAnsi="Times New Roman" w:eastAsia="宋体" w:cs="Times New Roman"/>
        </w:rPr>
        <w:sectPr>
          <w:footnotePr>
            <w:numRestart w:val="eachSect"/>
          </w:footnotePr>
          <w:type w:val="continuous"/>
          <w:pgMar w:top="1440" w:right="1080" w:bottom="1440" w:left="1080" w:header="720" w:footer="720" w:gutter="0"/>
          <w:cols w:equalWidth="0" w:num="2">
            <w:col w:w="4827" w:space="425"/>
            <w:col w:w="4827"/>
          </w:cols>
        </w:sectPr>
      </w:pPr>
      <w:bookmarkStart w:id="17" w:name="总结与展望"/>
    </w:p>
    <w:p w14:paraId="6ADECD42">
      <w:pPr>
        <w:pStyle w:val="3"/>
        <w:numPr>
          <w:ilvl w:val="1"/>
          <w:numId w:val="0"/>
        </w:numPr>
        <w:spacing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 总结与展望</w:t>
      </w:r>
    </w:p>
    <w:p w14:paraId="2E204A5C">
      <w:pPr>
        <w:pStyle w:val="4"/>
        <w:numPr>
          <w:ilvl w:val="2"/>
          <w:numId w:val="0"/>
        </w:numPr>
        <w:spacing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18" w:name="主要发现"/>
      <w:r>
        <w:rPr>
          <w:rFonts w:hint="default" w:ascii="Times New Roman" w:hAnsi="Times New Roman" w:eastAsia="宋体" w:cs="Times New Roman"/>
          <w:b/>
          <w:kern w:val="2"/>
          <w:sz w:val="30"/>
          <w:szCs w:val="30"/>
        </w:rPr>
        <w:t>6.1.</w:t>
      </w:r>
      <w:r>
        <w:rPr>
          <w:rFonts w:hint="default" w:ascii="Times New Roman" w:hAnsi="Times New Roman" w:eastAsia="宋体" w:cs="Times New Roman"/>
        </w:rPr>
        <w:t>主要发现</w:t>
      </w:r>
    </w:p>
    <w:p w14:paraId="26F5F617">
      <w:pPr>
        <w:pStyle w:val="38"/>
        <w:numPr>
          <w:ilvl w:val="0"/>
          <w:numId w:val="3"/>
        </w:numPr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GRU 和 LSTM 在 ISP 流量预测上表现接近</w:t>
      </w:r>
      <w:r>
        <w:rPr>
          <w:rFonts w:hint="default" w:ascii="Times New Roman" w:hAnsi="Times New Roman" w:eastAsia="宋体" w:cs="Times New Roman"/>
        </w:rPr>
        <w:t>，R² 中位数约 0.12-0.15，显著优于 Mean 基线。GRU 以更少的参数实现了略优的性能。</w:t>
      </w:r>
    </w:p>
    <w:p w14:paraId="288782CB">
      <w:pPr>
        <w:pStyle w:val="38"/>
        <w:numPr>
          <w:ilvl w:val="0"/>
          <w:numId w:val="3"/>
        </w:numPr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SARIMA 在滚动预测策略下表现不输深度模型</w:t>
      </w:r>
      <w:r>
        <w:rPr>
          <w:rFonts w:hint="default" w:ascii="Times New Roman" w:hAnsi="Times New Roman" w:eastAsia="宋体" w:cs="Times New Roman"/>
        </w:rPr>
        <w:t>，挑战了论文”统计模型远不如 DL 模型”的结论，揭示了评估方法对模型排名的影响。</w:t>
      </w:r>
    </w:p>
    <w:p w14:paraId="4E10044A">
      <w:pPr>
        <w:pStyle w:val="38"/>
        <w:numPr>
          <w:ilvl w:val="0"/>
          <w:numId w:val="3"/>
        </w:numPr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短期预测（24h）效果显著优于长期预测（168h）</w:t>
      </w:r>
      <w:r>
        <w:rPr>
          <w:rFonts w:hint="default" w:ascii="Times New Roman" w:hAnsi="Times New Roman" w:eastAsia="宋体" w:cs="Times New Roman"/>
        </w:rPr>
        <w:t>，R² 中位数随预测跨度增大而衰减约 50% 以上。</w:t>
      </w:r>
    </w:p>
    <w:p w14:paraId="629D4306">
      <w:pPr>
        <w:pStyle w:val="38"/>
        <w:numPr>
          <w:ilvl w:val="0"/>
          <w:numId w:val="3"/>
        </w:numPr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数据分布漂移是真实网络流量数据集的核心挑战</w:t>
      </w:r>
      <w:r>
        <w:rPr>
          <w:rFonts w:hint="default" w:ascii="Times New Roman" w:hAnsi="Times New Roman" w:eastAsia="宋体" w:cs="Times New Roman"/>
        </w:rPr>
        <w:t>，其对评估结果的影响值得关注。</w:t>
      </w:r>
    </w:p>
    <w:bookmarkEnd w:id="18"/>
    <w:p w14:paraId="7286796A">
      <w:pPr>
        <w:pStyle w:val="4"/>
        <w:numPr>
          <w:ilvl w:val="2"/>
          <w:numId w:val="0"/>
        </w:numPr>
        <w:spacing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19" w:name="局限性"/>
      <w:r>
        <w:rPr>
          <w:rFonts w:hint="default" w:ascii="Times New Roman" w:hAnsi="Times New Roman" w:eastAsia="宋体" w:cs="Times New Roman"/>
          <w:b/>
          <w:kern w:val="2"/>
          <w:sz w:val="30"/>
          <w:szCs w:val="30"/>
        </w:rPr>
        <w:t>6.2.</w:t>
      </w:r>
      <w:r>
        <w:rPr>
          <w:rFonts w:hint="default" w:ascii="Times New Roman" w:hAnsi="Times New Roman" w:eastAsia="宋体" w:cs="Times New Roman"/>
        </w:rPr>
        <w:t>局限性</w:t>
      </w:r>
    </w:p>
    <w:p w14:paraId="37799D58">
      <w:pPr>
        <w:pStyle w:val="38"/>
        <w:numPr>
          <w:ilvl w:val="0"/>
          <w:numId w:val="2"/>
        </w:numPr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本实验仅覆盖了机构级 </w:t>
      </w:r>
      <w:r>
        <w:rPr>
          <w:rStyle w:val="63"/>
          <w:rFonts w:hint="default" w:ascii="Times New Roman" w:hAnsi="Times New Roman" w:eastAsia="宋体" w:cs="Times New Roman"/>
        </w:rPr>
        <w:t>n_bytes</w:t>
      </w:r>
      <w:r>
        <w:rPr>
          <w:rFonts w:hint="default" w:ascii="Times New Roman" w:hAnsi="Times New Roman" w:eastAsia="宋体" w:cs="Times New Roman"/>
        </w:rPr>
        <w:t xml:space="preserve"> 指标，未对全部 18 个指标和三个层级进行全面实验</w:t>
      </w:r>
    </w:p>
    <w:p w14:paraId="28A116D3">
      <w:pPr>
        <w:pStyle w:val="38"/>
        <w:numPr>
          <w:ilvl w:val="0"/>
          <w:numId w:val="2"/>
        </w:numPr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SARIMA 滚动预测仅运行了 10 个测试窗口，与 LSTM/GRU 的 168 个窗口的对比存在样本量差异</w:t>
      </w:r>
    </w:p>
    <w:p w14:paraId="3CD89D0A">
      <w:pPr>
        <w:pStyle w:val="38"/>
        <w:numPr>
          <w:ilvl w:val="0"/>
          <w:numId w:val="2"/>
        </w:numPr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超参数未进行系统搜索，使用了论文参考代码的默认值</w:t>
      </w:r>
    </w:p>
    <w:p w14:paraId="110AFAA4">
      <w:pPr>
        <w:pStyle w:val="38"/>
        <w:numPr>
          <w:ilvl w:val="0"/>
          <w:numId w:val="2"/>
        </w:numPr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数据分布漂移问题未完全解决</w:t>
      </w:r>
    </w:p>
    <w:bookmarkEnd w:id="19"/>
    <w:p w14:paraId="2346C2C1">
      <w:pPr>
        <w:pStyle w:val="4"/>
        <w:numPr>
          <w:ilvl w:val="2"/>
          <w:numId w:val="0"/>
        </w:numPr>
        <w:spacing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20" w:name="改进方向"/>
      <w:r>
        <w:rPr>
          <w:rFonts w:hint="default" w:ascii="Times New Roman" w:hAnsi="Times New Roman" w:eastAsia="宋体" w:cs="Times New Roman"/>
          <w:b/>
          <w:kern w:val="2"/>
          <w:sz w:val="30"/>
          <w:szCs w:val="30"/>
        </w:rPr>
        <w:t>6.3.</w:t>
      </w:r>
      <w:r>
        <w:rPr>
          <w:rFonts w:hint="default" w:ascii="Times New Roman" w:hAnsi="Times New Roman" w:eastAsia="宋体" w:cs="Times New Roman"/>
        </w:rPr>
        <w:t>改进方向</w:t>
      </w:r>
    </w:p>
    <w:p w14:paraId="149FC55A">
      <w:pPr>
        <w:pStyle w:val="38"/>
        <w:numPr>
          <w:ilvl w:val="0"/>
          <w:numId w:val="2"/>
        </w:numPr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模型可解释性</w:t>
      </w:r>
      <w:r>
        <w:rPr>
          <w:rFonts w:hint="default" w:ascii="Times New Roman" w:hAnsi="Times New Roman" w:eastAsia="宋体" w:cs="Times New Roman"/>
        </w:rPr>
        <w:t>：对 LSTM/GRU 的预测进行 SHAP 值</w:t>
      </w:r>
      <w:bookmarkStart w:id="22" w:name="_GoBack"/>
      <w:bookmarkEnd w:id="22"/>
      <w:r>
        <w:rPr>
          <w:rFonts w:hint="default" w:ascii="Times New Roman" w:hAnsi="Times New Roman" w:eastAsia="宋体" w:cs="Times New Roman"/>
        </w:rPr>
        <w:t>分析，理解模型学到了哪些时间步的重要模式</w:t>
      </w:r>
    </w:p>
    <w:p w14:paraId="678D7093">
      <w:pPr>
        <w:pStyle w:val="38"/>
        <w:numPr>
          <w:ilvl w:val="0"/>
          <w:numId w:val="2"/>
        </w:numPr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业务场景适配</w:t>
      </w:r>
      <w:r>
        <w:rPr>
          <w:rFonts w:hint="default" w:ascii="Times New Roman" w:hAnsi="Times New Roman" w:eastAsia="宋体" w:cs="Times New Roman"/>
        </w:rPr>
        <w:t>：将预测结果映射到具体业务场景（骨干网、边缘节点、企业网络），建立模型-场景适配矩阵</w:t>
      </w:r>
    </w:p>
    <w:p w14:paraId="7BFD5C89">
      <w:pPr>
        <w:pStyle w:val="38"/>
        <w:numPr>
          <w:ilvl w:val="0"/>
          <w:numId w:val="2"/>
        </w:numPr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多指标预测</w:t>
      </w:r>
      <w:r>
        <w:rPr>
          <w:rFonts w:hint="default" w:ascii="Times New Roman" w:hAnsi="Times New Roman" w:eastAsia="宋体" w:cs="Times New Roman"/>
        </w:rPr>
        <w:t xml:space="preserve">：利用 </w:t>
      </w:r>
      <w:r>
        <w:rPr>
          <w:rStyle w:val="63"/>
          <w:rFonts w:hint="default" w:ascii="Times New Roman" w:hAnsi="Times New Roman" w:eastAsia="宋体" w:cs="Times New Roman"/>
        </w:rPr>
        <w:t>n_bytes</w:t>
      </w:r>
      <w:r>
        <w:rPr>
          <w:rFonts w:hint="default" w:ascii="Times New Roman" w:hAnsi="Times New Roman" w:eastAsia="宋体" w:cs="Times New Roman"/>
        </w:rPr>
        <w:t>、</w:t>
      </w:r>
      <w:r>
        <w:rPr>
          <w:rStyle w:val="63"/>
          <w:rFonts w:hint="default" w:ascii="Times New Roman" w:hAnsi="Times New Roman" w:eastAsia="宋体" w:cs="Times New Roman"/>
        </w:rPr>
        <w:t>n_flows</w:t>
      </w:r>
      <w:r>
        <w:rPr>
          <w:rFonts w:hint="default" w:ascii="Times New Roman" w:hAnsi="Times New Roman" w:eastAsia="宋体" w:cs="Times New Roman"/>
        </w:rPr>
        <w:t>、</w:t>
      </w:r>
      <w:r>
        <w:rPr>
          <w:rStyle w:val="63"/>
          <w:rFonts w:hint="default" w:ascii="Times New Roman" w:hAnsi="Times New Roman" w:eastAsia="宋体" w:cs="Times New Roman"/>
        </w:rPr>
        <w:t>n_packets</w:t>
      </w:r>
      <w:r>
        <w:rPr>
          <w:rFonts w:hint="default" w:ascii="Times New Roman" w:hAnsi="Times New Roman" w:eastAsia="宋体" w:cs="Times New Roman"/>
        </w:rPr>
        <w:t xml:space="preserve"> 等多变量信息进行联合预测，可能提升预测精度</w:t>
      </w:r>
    </w:p>
    <w:p w14:paraId="2B7F5100">
      <w:pPr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0"/>
    <w:p w14:paraId="67DF0394">
      <w:pPr>
        <w:pStyle w:val="3"/>
        <w:numPr>
          <w:ilvl w:val="1"/>
          <w:numId w:val="0"/>
        </w:numPr>
        <w:spacing w:line="240" w:lineRule="auto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21" w:name="参考文献"/>
      <w:r>
        <w:rPr>
          <w:rFonts w:hint="default" w:ascii="Times New Roman" w:hAnsi="Times New Roman" w:eastAsia="宋体" w:cs="Times New Roman"/>
          <w:b/>
          <w:bCs/>
          <w:kern w:val="2"/>
          <w:sz w:val="32"/>
          <w:szCs w:val="32"/>
        </w:rPr>
        <w:t>1.7.</w:t>
      </w:r>
      <w:r>
        <w:rPr>
          <w:rFonts w:hint="default" w:ascii="Times New Roman" w:hAnsi="Times New Roman" w:eastAsia="宋体" w:cs="Times New Roman"/>
        </w:rPr>
        <w:t>参考文献</w:t>
      </w:r>
    </w:p>
    <w:p w14:paraId="53FA0762">
      <w:pPr>
        <w:pStyle w:val="37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[1] Koumar, J., et al. “Comparative Analysis of Deep Learning Models for Real-World ISP Network Traffic Forecasting.” IEEE TNSM, 2026.</w:t>
      </w:r>
    </w:p>
    <w:p w14:paraId="42E7226E">
      <w:pPr>
        <w:pStyle w:val="7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[2] Koumar, J., et al. “CESNET-TimeSeries24: Time Series Dataset for Network Traffic Anomaly Detection and Forecasting.” Nature Scientific Data, 2025.</w:t>
      </w:r>
    </w:p>
    <w:p w14:paraId="43EB56D3">
      <w:pPr>
        <w:pStyle w:val="7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[3] Hochreiter, S. &amp; Schmidhuber, J. “Long Short-Term Memory.” Neural Computation, 1997.</w:t>
      </w:r>
    </w:p>
    <w:p w14:paraId="3C3354BB">
      <w:pPr>
        <w:pStyle w:val="7"/>
        <w:spacing w:line="240" w:lineRule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[4] Cho, K., et al. “Learning Phrase Representations using RNN Encoder-Decoder for Statistical Machine Translation.” EMNLP, 2014.</w:t>
      </w:r>
    </w:p>
    <w:bookmarkEnd w:id="0"/>
    <w:bookmarkEnd w:id="21"/>
    <w:sectPr>
      <w:footnotePr>
        <w:numRestart w:val="eachSect"/>
      </w:footnotePr>
      <w:type w:val="continuous"/>
      <w:pgMar w:top="1440" w:right="1080" w:bottom="144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84C4B"/>
    <w:rsid w:val="0A155907"/>
    <w:rsid w:val="1C7B4336"/>
    <w:rsid w:val="3269517F"/>
    <w:rsid w:val="6FC76E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45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paragraph" w:styleId="3">
    <w:name w:val="heading 2"/>
    <w:next w:val="1"/>
    <w:link w:val="46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32"/>
      <w:szCs w:val="32"/>
    </w:rPr>
  </w:style>
  <w:style w:type="paragraph" w:styleId="4">
    <w:name w:val="heading 3"/>
    <w:next w:val="1"/>
    <w:link w:val="47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30"/>
      <w:szCs w:val="30"/>
    </w:rPr>
  </w:style>
  <w:style w:type="paragraph" w:styleId="5">
    <w:name w:val="heading 4"/>
    <w:next w:val="1"/>
    <w:link w:val="48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link w:val="49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link w:val="50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link w:val="51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link w:val="52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link w:val="53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28">
    <w:name w:val="Default Paragraph Font"/>
    <w:semiHidden/>
    <w:qFormat/>
    <w:uiPriority w:val="0"/>
  </w:style>
  <w:style w:type="table" w:default="1" w:styleId="27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62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Block Text"/>
    <w:basedOn w:val="1"/>
    <w:qFormat/>
    <w:uiPriority w:val="0"/>
    <w:pPr>
      <w:spacing w:after="120" w:afterLines="0" w:afterAutospacing="0"/>
      <w:ind w:left="1440" w:leftChars="700" w:rightChars="7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Subtitle"/>
    <w:basedOn w:val="1"/>
    <w:next w:val="7"/>
    <w:link w:val="40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3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4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5">
    <w:name w:val="Title"/>
    <w:basedOn w:val="1"/>
    <w:link w:val="39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6">
    <w:name w:val="annotation subject"/>
    <w:basedOn w:val="13"/>
    <w:next w:val="13"/>
    <w:qFormat/>
    <w:uiPriority w:val="0"/>
    <w:rPr>
      <w:b/>
      <w:bCs/>
    </w:rPr>
  </w:style>
  <w:style w:type="character" w:styleId="29">
    <w:name w:val="Strong"/>
    <w:basedOn w:val="28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30">
    <w:name w:val="end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1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FollowedHyperlink"/>
    <w:basedOn w:val="28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3">
    <w:name w:val="Emphasis"/>
    <w:basedOn w:val="28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4">
    <w:name w:val="Hyperlink"/>
    <w:basedOn w:val="28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5">
    <w:name w:val="annotation reference"/>
    <w:basedOn w:val="28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6">
    <w:name w:val="footnote reference"/>
    <w:basedOn w:val="2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37">
    <w:name w:val="First Paragraph"/>
    <w:basedOn w:val="7"/>
    <w:next w:val="7"/>
    <w:qFormat/>
    <w:uiPriority w:val="0"/>
  </w:style>
  <w:style w:type="paragraph" w:customStyle="1" w:styleId="38">
    <w:name w:val="Compact"/>
    <w:basedOn w:val="7"/>
    <w:qFormat/>
    <w:uiPriority w:val="0"/>
    <w:pPr>
      <w:spacing w:before="36" w:after="36"/>
    </w:pPr>
  </w:style>
  <w:style w:type="character" w:customStyle="1" w:styleId="39">
    <w:name w:val="Title Char"/>
    <w:link w:val="25"/>
    <w:qFormat/>
    <w:uiPriority w:val="10"/>
    <w:rPr>
      <w:rFonts w:ascii="微软雅黑" w:hAnsi="微软雅黑"/>
      <w:b/>
      <w:bCs/>
      <w:sz w:val="48"/>
      <w:szCs w:val="48"/>
    </w:rPr>
  </w:style>
  <w:style w:type="character" w:customStyle="1" w:styleId="40">
    <w:name w:val="Subtitle Char"/>
    <w:link w:val="22"/>
    <w:qFormat/>
    <w:uiPriority w:val="11"/>
    <w:rPr>
      <w:rFonts w:ascii="微软雅黑" w:hAnsi="微软雅黑"/>
      <w:b/>
      <w:bCs/>
      <w:kern w:val="28"/>
      <w:sz w:val="36"/>
      <w:szCs w:val="36"/>
    </w:rPr>
  </w:style>
  <w:style w:type="paragraph" w:customStyle="1" w:styleId="41">
    <w:name w:val="Author"/>
    <w:basedOn w:val="25"/>
    <w:next w:val="7"/>
    <w:qFormat/>
    <w:uiPriority w:val="0"/>
    <w:pPr>
      <w:keepNext/>
      <w:keepLines/>
    </w:pPr>
    <w:rPr>
      <w:sz w:val="24"/>
      <w:szCs w:val="24"/>
    </w:rPr>
  </w:style>
  <w:style w:type="paragraph" w:customStyle="1" w:styleId="42">
    <w:name w:val="Abstract Title"/>
    <w:basedOn w:val="1"/>
    <w:next w:val="43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43">
    <w:name w:val="Abstract"/>
    <w:basedOn w:val="1"/>
    <w:next w:val="7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44">
    <w:name w:val="Bibliography"/>
    <w:basedOn w:val="1"/>
    <w:qFormat/>
    <w:uiPriority w:val="0"/>
  </w:style>
  <w:style w:type="character" w:customStyle="1" w:styleId="45">
    <w:name w:val="Heading 1 Char"/>
    <w:link w:val="2"/>
    <w:uiPriority w:val="9"/>
    <w:rPr>
      <w:rFonts w:ascii="微软雅黑" w:hAnsi="微软雅黑" w:eastAsia="微软雅黑" w:cstheme="minorBidi"/>
      <w:b/>
      <w:bCs/>
      <w:kern w:val="44"/>
      <w:sz w:val="36"/>
      <w:szCs w:val="36"/>
    </w:rPr>
  </w:style>
  <w:style w:type="character" w:customStyle="1" w:styleId="46">
    <w:name w:val="Heading 2 Char"/>
    <w:link w:val="3"/>
    <w:semiHidden/>
    <w:qFormat/>
    <w:uiPriority w:val="9"/>
    <w:rPr>
      <w:rFonts w:ascii="微软雅黑" w:hAnsi="微软雅黑" w:eastAsia="微软雅黑" w:cstheme="minorBidi"/>
      <w:b/>
      <w:bCs/>
      <w:kern w:val="2"/>
      <w:sz w:val="32"/>
      <w:szCs w:val="32"/>
    </w:rPr>
  </w:style>
  <w:style w:type="character" w:customStyle="1" w:styleId="47">
    <w:name w:val="Heading 3 Char"/>
    <w:link w:val="4"/>
    <w:semiHidden/>
    <w:qFormat/>
    <w:uiPriority w:val="9"/>
    <w:rPr>
      <w:rFonts w:ascii="微软雅黑" w:hAnsi="微软雅黑" w:eastAsia="微软雅黑" w:cstheme="minorBidi"/>
      <w:b/>
      <w:kern w:val="2"/>
      <w:sz w:val="30"/>
      <w:szCs w:val="30"/>
    </w:rPr>
  </w:style>
  <w:style w:type="character" w:customStyle="1" w:styleId="48">
    <w:name w:val="Heading 4 Char"/>
    <w:link w:val="5"/>
    <w:semiHidden/>
    <w:uiPriority w:val="9"/>
    <w:rPr>
      <w:rFonts w:ascii="微软雅黑" w:hAnsi="微软雅黑" w:eastAsia="微软雅黑" w:cstheme="minorBidi"/>
      <w:b/>
      <w:bCs/>
      <w:sz w:val="28"/>
      <w:szCs w:val="28"/>
    </w:rPr>
  </w:style>
  <w:style w:type="character" w:customStyle="1" w:styleId="49">
    <w:name w:val="Heading 5 Char"/>
    <w:link w:val="6"/>
    <w:semiHidden/>
    <w:uiPriority w:val="9"/>
    <w:rPr>
      <w:rFonts w:ascii="Arial" w:hAnsi="Arial"/>
      <w:b/>
      <w:sz w:val="24"/>
      <w:szCs w:val="22"/>
    </w:rPr>
  </w:style>
  <w:style w:type="character" w:customStyle="1" w:styleId="50">
    <w:name w:val="Heading 6 Char"/>
    <w:link w:val="8"/>
    <w:semiHidden/>
    <w:uiPriority w:val="9"/>
    <w:rPr>
      <w:rFonts w:ascii="微软雅黑" w:hAnsi="微软雅黑"/>
      <w:b/>
      <w:bCs/>
      <w:sz w:val="24"/>
    </w:rPr>
  </w:style>
  <w:style w:type="character" w:customStyle="1" w:styleId="51">
    <w:name w:val="Heading 7 Char"/>
    <w:link w:val="9"/>
    <w:semiHidden/>
    <w:qFormat/>
    <w:uiPriority w:val="9"/>
    <w:rPr>
      <w:rFonts w:ascii="微软雅黑" w:hAnsi="微软雅黑"/>
      <w:b/>
      <w:bCs/>
      <w:sz w:val="24"/>
    </w:rPr>
  </w:style>
  <w:style w:type="character" w:customStyle="1" w:styleId="52">
    <w:name w:val="Heading 8 Char"/>
    <w:link w:val="10"/>
    <w:semiHidden/>
    <w:uiPriority w:val="9"/>
    <w:rPr>
      <w:rFonts w:ascii="微软雅黑" w:hAnsi="微软雅黑" w:cstheme="majorBidi"/>
      <w:b/>
      <w:bCs/>
      <w:sz w:val="24"/>
    </w:rPr>
  </w:style>
  <w:style w:type="character" w:customStyle="1" w:styleId="53">
    <w:name w:val="Heading 9 Char"/>
    <w:link w:val="11"/>
    <w:semiHidden/>
    <w:uiPriority w:val="9"/>
    <w:rPr>
      <w:rFonts w:ascii="微软雅黑" w:hAnsi="微软雅黑" w:cstheme="majorBidi"/>
      <w:b/>
      <w:bCs/>
      <w:sz w:val="24"/>
      <w:szCs w:val="24"/>
    </w:rPr>
  </w:style>
  <w:style w:type="paragraph" w:customStyle="1" w:styleId="54">
    <w:name w:val="Footnote Block Text"/>
    <w:basedOn w:val="23"/>
    <w:next w:val="23"/>
    <w:unhideWhenUsed/>
    <w:qFormat/>
    <w:uiPriority w:val="9"/>
    <w:pPr>
      <w:spacing w:before="100" w:after="100"/>
      <w:ind w:left="480" w:right="480" w:firstLine="0"/>
    </w:pPr>
  </w:style>
  <w:style w:type="table" w:customStyle="1" w:styleId="5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56">
    <w:name w:val="Definition Term"/>
    <w:basedOn w:val="1"/>
    <w:next w:val="57"/>
    <w:uiPriority w:val="0"/>
    <w:pPr>
      <w:keepNext/>
      <w:keepLines/>
      <w:spacing w:after="0"/>
    </w:pPr>
    <w:rPr>
      <w:b/>
    </w:rPr>
  </w:style>
  <w:style w:type="paragraph" w:customStyle="1" w:styleId="57">
    <w:name w:val="Definition"/>
    <w:basedOn w:val="1"/>
    <w:qFormat/>
    <w:uiPriority w:val="0"/>
  </w:style>
  <w:style w:type="paragraph" w:customStyle="1" w:styleId="58">
    <w:name w:val="Table Caption"/>
    <w:basedOn w:val="12"/>
    <w:uiPriority w:val="0"/>
    <w:pPr>
      <w:keepNext/>
    </w:pPr>
  </w:style>
  <w:style w:type="paragraph" w:customStyle="1" w:styleId="59">
    <w:name w:val="Image Caption"/>
    <w:basedOn w:val="12"/>
    <w:qFormat/>
    <w:uiPriority w:val="0"/>
  </w:style>
  <w:style w:type="paragraph" w:customStyle="1" w:styleId="60">
    <w:name w:val="Figure"/>
    <w:basedOn w:val="1"/>
    <w:uiPriority w:val="0"/>
  </w:style>
  <w:style w:type="paragraph" w:customStyle="1" w:styleId="61">
    <w:name w:val="Captioned Figure"/>
    <w:basedOn w:val="60"/>
    <w:uiPriority w:val="0"/>
    <w:pPr>
      <w:keepNext/>
    </w:pPr>
  </w:style>
  <w:style w:type="character" w:customStyle="1" w:styleId="62">
    <w:name w:val="Body Text Char"/>
    <w:basedOn w:val="28"/>
    <w:link w:val="7"/>
    <w:qFormat/>
    <w:uiPriority w:val="0"/>
    <w:rPr>
      <w:rFonts w:ascii="微软雅黑" w:hAnsi="微软雅黑"/>
      <w:szCs w:val="21"/>
    </w:rPr>
  </w:style>
  <w:style w:type="character" w:customStyle="1" w:styleId="63">
    <w:name w:val="Verbatim Char"/>
    <w:basedOn w:val="62"/>
    <w:link w:val="64"/>
    <w:qFormat/>
    <w:uiPriority w:val="0"/>
    <w:rPr>
      <w:rFonts w:ascii="Consolas" w:hAnsi="Consolas"/>
      <w:sz w:val="22"/>
    </w:rPr>
  </w:style>
  <w:style w:type="paragraph" w:customStyle="1" w:styleId="64">
    <w:name w:val="Source Code"/>
    <w:basedOn w:val="1"/>
    <w:link w:val="63"/>
    <w:qFormat/>
    <w:uiPriority w:val="0"/>
    <w:pPr>
      <w:wordWrap w:val="0"/>
    </w:pPr>
  </w:style>
  <w:style w:type="character" w:customStyle="1" w:styleId="65">
    <w:name w:val="Section Number"/>
    <w:basedOn w:val="62"/>
    <w:qFormat/>
    <w:uiPriority w:val="0"/>
  </w:style>
  <w:style w:type="paragraph" w:customStyle="1" w:styleId="66">
    <w:name w:val="TOC Heading"/>
    <w:basedOn w:val="2"/>
    <w:next w:val="7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104862" w:themeColor="accent1" w:themeShade="BF"/>
    </w:rPr>
  </w:style>
  <w:style w:type="character" w:customStyle="1" w:styleId="67">
    <w:name w:val="KeywordTok"/>
    <w:basedOn w:val="63"/>
    <w:qFormat/>
    <w:uiPriority w:val="0"/>
    <w:rPr>
      <w:b/>
      <w:color w:val="007020"/>
    </w:rPr>
  </w:style>
  <w:style w:type="character" w:customStyle="1" w:styleId="68">
    <w:name w:val="DataTypeTok"/>
    <w:basedOn w:val="63"/>
    <w:qFormat/>
    <w:uiPriority w:val="0"/>
    <w:rPr>
      <w:color w:val="902000"/>
    </w:rPr>
  </w:style>
  <w:style w:type="character" w:customStyle="1" w:styleId="69">
    <w:name w:val="DecValTok"/>
    <w:basedOn w:val="63"/>
    <w:qFormat/>
    <w:uiPriority w:val="0"/>
    <w:rPr>
      <w:color w:val="40A070"/>
    </w:rPr>
  </w:style>
  <w:style w:type="character" w:customStyle="1" w:styleId="70">
    <w:name w:val="BaseNTok"/>
    <w:basedOn w:val="63"/>
    <w:qFormat/>
    <w:uiPriority w:val="0"/>
    <w:rPr>
      <w:color w:val="40A070"/>
    </w:rPr>
  </w:style>
  <w:style w:type="character" w:customStyle="1" w:styleId="71">
    <w:name w:val="FloatTok"/>
    <w:basedOn w:val="63"/>
    <w:qFormat/>
    <w:uiPriority w:val="0"/>
    <w:rPr>
      <w:color w:val="40A070"/>
    </w:rPr>
  </w:style>
  <w:style w:type="character" w:customStyle="1" w:styleId="72">
    <w:name w:val="ConstantTok"/>
    <w:basedOn w:val="63"/>
    <w:qFormat/>
    <w:uiPriority w:val="0"/>
    <w:rPr>
      <w:color w:val="880000"/>
    </w:rPr>
  </w:style>
  <w:style w:type="character" w:customStyle="1" w:styleId="73">
    <w:name w:val="CharTok"/>
    <w:basedOn w:val="63"/>
    <w:qFormat/>
    <w:uiPriority w:val="0"/>
    <w:rPr>
      <w:color w:val="4070A0"/>
    </w:rPr>
  </w:style>
  <w:style w:type="character" w:customStyle="1" w:styleId="74">
    <w:name w:val="SpecialCharTok"/>
    <w:basedOn w:val="63"/>
    <w:qFormat/>
    <w:uiPriority w:val="0"/>
    <w:rPr>
      <w:color w:val="4070A0"/>
    </w:rPr>
  </w:style>
  <w:style w:type="character" w:customStyle="1" w:styleId="75">
    <w:name w:val="StringTok"/>
    <w:basedOn w:val="63"/>
    <w:qFormat/>
    <w:uiPriority w:val="0"/>
    <w:rPr>
      <w:color w:val="4070A0"/>
    </w:rPr>
  </w:style>
  <w:style w:type="character" w:customStyle="1" w:styleId="76">
    <w:name w:val="VerbatimStringTok"/>
    <w:basedOn w:val="63"/>
    <w:qFormat/>
    <w:uiPriority w:val="0"/>
    <w:rPr>
      <w:color w:val="4070A0"/>
    </w:rPr>
  </w:style>
  <w:style w:type="character" w:customStyle="1" w:styleId="77">
    <w:name w:val="SpecialStringTok"/>
    <w:basedOn w:val="63"/>
    <w:qFormat/>
    <w:uiPriority w:val="0"/>
    <w:rPr>
      <w:color w:val="BB6688"/>
    </w:rPr>
  </w:style>
  <w:style w:type="character" w:customStyle="1" w:styleId="78">
    <w:name w:val="ImportTok"/>
    <w:basedOn w:val="63"/>
    <w:qFormat/>
    <w:uiPriority w:val="0"/>
    <w:rPr>
      <w:b/>
      <w:color w:val="008000"/>
    </w:rPr>
  </w:style>
  <w:style w:type="character" w:customStyle="1" w:styleId="79">
    <w:name w:val="CommentTok"/>
    <w:basedOn w:val="63"/>
    <w:qFormat/>
    <w:uiPriority w:val="0"/>
    <w:rPr>
      <w:i/>
      <w:color w:val="60A0B0"/>
    </w:rPr>
  </w:style>
  <w:style w:type="character" w:customStyle="1" w:styleId="80">
    <w:name w:val="DocumentationTok"/>
    <w:basedOn w:val="63"/>
    <w:qFormat/>
    <w:uiPriority w:val="0"/>
    <w:rPr>
      <w:i/>
      <w:color w:val="BA2121"/>
    </w:rPr>
  </w:style>
  <w:style w:type="character" w:customStyle="1" w:styleId="81">
    <w:name w:val="AnnotationTok"/>
    <w:basedOn w:val="63"/>
    <w:qFormat/>
    <w:uiPriority w:val="0"/>
    <w:rPr>
      <w:b/>
      <w:i/>
      <w:color w:val="60A0B0"/>
    </w:rPr>
  </w:style>
  <w:style w:type="character" w:customStyle="1" w:styleId="82">
    <w:name w:val="CommentVarTok"/>
    <w:basedOn w:val="63"/>
    <w:qFormat/>
    <w:uiPriority w:val="0"/>
    <w:rPr>
      <w:b/>
      <w:i/>
      <w:color w:val="60A0B0"/>
    </w:rPr>
  </w:style>
  <w:style w:type="character" w:customStyle="1" w:styleId="83">
    <w:name w:val="OtherTok"/>
    <w:basedOn w:val="63"/>
    <w:qFormat/>
    <w:uiPriority w:val="0"/>
    <w:rPr>
      <w:color w:val="007020"/>
    </w:rPr>
  </w:style>
  <w:style w:type="character" w:customStyle="1" w:styleId="84">
    <w:name w:val="FunctionTok"/>
    <w:basedOn w:val="63"/>
    <w:qFormat/>
    <w:uiPriority w:val="0"/>
    <w:rPr>
      <w:color w:val="06287E"/>
    </w:rPr>
  </w:style>
  <w:style w:type="character" w:customStyle="1" w:styleId="85">
    <w:name w:val="VariableTok"/>
    <w:basedOn w:val="63"/>
    <w:qFormat/>
    <w:uiPriority w:val="0"/>
    <w:rPr>
      <w:color w:val="19177C"/>
    </w:rPr>
  </w:style>
  <w:style w:type="character" w:customStyle="1" w:styleId="86">
    <w:name w:val="ControlFlowTok"/>
    <w:basedOn w:val="63"/>
    <w:qFormat/>
    <w:uiPriority w:val="0"/>
    <w:rPr>
      <w:b/>
      <w:color w:val="007020"/>
    </w:rPr>
  </w:style>
  <w:style w:type="character" w:customStyle="1" w:styleId="87">
    <w:name w:val="OperatorTok"/>
    <w:basedOn w:val="63"/>
    <w:qFormat/>
    <w:uiPriority w:val="0"/>
    <w:rPr>
      <w:color w:val="666666"/>
    </w:rPr>
  </w:style>
  <w:style w:type="character" w:customStyle="1" w:styleId="88">
    <w:name w:val="BuiltInTok"/>
    <w:basedOn w:val="63"/>
    <w:qFormat/>
    <w:uiPriority w:val="0"/>
    <w:rPr>
      <w:color w:val="008000"/>
    </w:rPr>
  </w:style>
  <w:style w:type="character" w:customStyle="1" w:styleId="89">
    <w:name w:val="ExtensionTok"/>
    <w:basedOn w:val="63"/>
    <w:qFormat/>
    <w:uiPriority w:val="0"/>
  </w:style>
  <w:style w:type="character" w:customStyle="1" w:styleId="90">
    <w:name w:val="PreprocessorTok"/>
    <w:basedOn w:val="63"/>
    <w:qFormat/>
    <w:uiPriority w:val="0"/>
    <w:rPr>
      <w:color w:val="BC7A00"/>
    </w:rPr>
  </w:style>
  <w:style w:type="character" w:customStyle="1" w:styleId="91">
    <w:name w:val="AttributeTok"/>
    <w:basedOn w:val="63"/>
    <w:qFormat/>
    <w:uiPriority w:val="0"/>
    <w:rPr>
      <w:color w:val="7D9029"/>
    </w:rPr>
  </w:style>
  <w:style w:type="character" w:customStyle="1" w:styleId="92">
    <w:name w:val="RegionMarkerTok"/>
    <w:basedOn w:val="63"/>
    <w:qFormat/>
    <w:uiPriority w:val="0"/>
  </w:style>
  <w:style w:type="character" w:customStyle="1" w:styleId="93">
    <w:name w:val="InformationTok"/>
    <w:basedOn w:val="63"/>
    <w:qFormat/>
    <w:uiPriority w:val="0"/>
    <w:rPr>
      <w:b/>
      <w:i/>
      <w:color w:val="60A0B0"/>
    </w:rPr>
  </w:style>
  <w:style w:type="character" w:customStyle="1" w:styleId="94">
    <w:name w:val="WarningTok"/>
    <w:basedOn w:val="63"/>
    <w:qFormat/>
    <w:uiPriority w:val="0"/>
    <w:rPr>
      <w:b/>
      <w:i/>
      <w:color w:val="60A0B0"/>
    </w:rPr>
  </w:style>
  <w:style w:type="character" w:customStyle="1" w:styleId="95">
    <w:name w:val="AlertTok"/>
    <w:basedOn w:val="63"/>
    <w:qFormat/>
    <w:uiPriority w:val="0"/>
    <w:rPr>
      <w:b/>
      <w:color w:val="FF0000"/>
    </w:rPr>
  </w:style>
  <w:style w:type="character" w:customStyle="1" w:styleId="96">
    <w:name w:val="ErrorTok"/>
    <w:basedOn w:val="63"/>
    <w:qFormat/>
    <w:uiPriority w:val="0"/>
    <w:rPr>
      <w:b/>
      <w:color w:val="FF0000"/>
    </w:rPr>
  </w:style>
  <w:style w:type="character" w:customStyle="1" w:styleId="97">
    <w:name w:val="NormalTok"/>
    <w:basedOn w:val="6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4386</Words>
  <Characters>6510</Characters>
  <Lines>12</Lines>
  <Paragraphs>8</Paragraphs>
  <TotalTime>5</TotalTime>
  <ScaleCrop>false</ScaleCrop>
  <LinksUpToDate>false</LinksUpToDate>
  <CharactersWithSpaces>7038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2026-06-21T06:01:00Z</dcterms:created>
  <dc:creator>陈琦</dc:creator>
  <cp:lastModifiedBy>陈琦</cp:lastModifiedBy>
  <dcterms:modified xsi:type="dcterms:W3CDTF">2026-06-21T07:42:53Z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eyJoZGlkIjoiZjk3YTAxM2Y0NmQxMDNjZWIxZmE1NzIzZDE0Mjc1NjIiLCJ1c2VySWQiOiIxNzQzNzM2NTU4In0=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ACEA40C23A9D400C849E7F90202C53FF_13</vt:lpwstr>
  </property>
</Properties>
</file>