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Evaluating Personal Job Market Prospects in 2024</w:t>
      </w:r>
    </w:p>
    <w:p>
      <w:pPr>
        <w:pStyle w:val="Subtitle"/>
      </w:pPr>
      <w:r>
        <w:t xml:space="preserve">Final Report</w:t>
      </w:r>
    </w:p>
    <w:p>
      <w:pPr>
        <w:pStyle w:val="Author"/>
      </w:pPr>
      <w:r>
        <w:t xml:space="preserve">Xiangwen (Rosa) Wang</w:t>
      </w:r>
    </w:p>
    <w:p>
      <w:pPr>
        <w:pStyle w:val="Author"/>
      </w:pPr>
      <w:r>
        <w:t xml:space="preserve">Chenxi (Murphy) Liao</w:t>
      </w:r>
    </w:p>
    <w:p>
      <w:pPr>
        <w:pStyle w:val="Author"/>
      </w:pPr>
      <w:r>
        <w:t xml:space="preserve">Yijun (Eugenia) Tseng</w:t>
      </w:r>
    </w:p>
    <w:p>
      <w:pPr>
        <w:pStyle w:val="Date"/>
      </w:pPr>
      <w:r>
        <w:t xml:space="preserve">June 28, 2025</w:t>
      </w:r>
    </w:p>
    <w:bookmarkStart w:id="20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r>
        <w:t xml:space="preserve">Exclusive Summary</w:t>
      </w:r>
    </w:p>
    <w:p>
      <w:pPr>
        <w:pStyle w:val="Compact"/>
        <w:numPr>
          <w:ilvl w:val="0"/>
          <w:numId w:val="1001"/>
        </w:numPr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Data Cleaning &amp; EDA</w:t>
      </w:r>
    </w:p>
    <w:p>
      <w:pPr>
        <w:pStyle w:val="Compact"/>
        <w:numPr>
          <w:ilvl w:val="0"/>
          <w:numId w:val="1001"/>
        </w:numPr>
      </w:pPr>
      <w:r>
        <w:t xml:space="preserve">Enhanced EDA</w:t>
      </w:r>
    </w:p>
    <w:p>
      <w:pPr>
        <w:pStyle w:val="Compact"/>
        <w:numPr>
          <w:ilvl w:val="0"/>
          <w:numId w:val="1001"/>
        </w:numPr>
      </w:pPr>
      <w:r>
        <w:t xml:space="preserve">Skill Gap Analysis</w:t>
      </w:r>
    </w:p>
    <w:p>
      <w:pPr>
        <w:pStyle w:val="Compact"/>
        <w:numPr>
          <w:ilvl w:val="0"/>
          <w:numId w:val="1001"/>
        </w:numPr>
      </w:pPr>
      <w:r>
        <w:t xml:space="preserve">NLP Analysis</w:t>
      </w:r>
    </w:p>
    <w:p>
      <w:pPr>
        <w:pStyle w:val="Compact"/>
        <w:numPr>
          <w:ilvl w:val="0"/>
          <w:numId w:val="1001"/>
        </w:numPr>
      </w:pPr>
      <w:r>
        <w:t xml:space="preserve">Machine Learning</w:t>
      </w:r>
    </w:p>
    <w:p>
      <w:pPr>
        <w:pStyle w:val="Compact"/>
        <w:numPr>
          <w:ilvl w:val="0"/>
          <w:numId w:val="1001"/>
        </w:numPr>
      </w:pPr>
      <w:r>
        <w:t xml:space="preserve">Conclusion</w:t>
      </w:r>
    </w:p>
    <w:p>
      <w:r>
        <w:pict>
          <v:rect style="width:0;height:1.5pt" o:hralign="center" o:hrstd="t" o:hr="t"/>
        </w:pict>
      </w:r>
    </w:p>
    <w:bookmarkEnd w:id="20"/>
    <w:bookmarkStart w:id="21" w:name="section"/>
    <w:p>
      <w:pPr>
        <w:pStyle w:val="Heading2"/>
      </w:pPr>
    </w:p>
    <w:bookmarkEnd w:id="21"/>
    <w:bookmarkStart w:id="22" w:name="section-1"/>
    <w:p>
      <w:pPr>
        <w:pStyle w:val="Heading2"/>
      </w:pPr>
    </w:p>
    <w:bookmarkEnd w:id="22"/>
    <w:bookmarkStart w:id="23" w:name="section-2"/>
    <w:p>
      <w:pPr>
        <w:pStyle w:val="Heading2"/>
      </w:pPr>
    </w:p>
    <w:bookmarkEnd w:id="23"/>
    <w:bookmarkStart w:id="24" w:name="section-3"/>
    <w:p>
      <w:pPr>
        <w:pStyle w:val="Heading2"/>
      </w:pPr>
    </w:p>
    <w:bookmarkEnd w:id="24"/>
    <w:bookmarkStart w:id="25" w:name="section-4"/>
    <w:p>
      <w:pPr>
        <w:pStyle w:val="Heading2"/>
      </w:pPr>
    </w:p>
    <w:bookmarkEnd w:id="25"/>
    <w:bookmarkStart w:id="26" w:name="section-5"/>
    <w:p>
      <w:pPr>
        <w:pStyle w:val="Heading2"/>
      </w:pP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Evaluating Personal Job Market Prospects in 2024</dc:title>
  <dc:creator>Xiangwen (Rosa) Wang; Chenxi (Murphy) Liao; Yijun (Eugenia) Tseng</dc:creator>
  <cp:keywords/>
  <dcterms:created xsi:type="dcterms:W3CDTF">2025-06-28T00:27:24Z</dcterms:created>
  <dcterms:modified xsi:type="dcterms:W3CDTF">2025-06-28T00:27:24Z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June 28, 2025</vt:lpwstr>
  </property>
  <property fmtid="{D5CDD505-2E9C-101B-9397-08002B2CF9AE}" pid="8" name="date-format">
    <vt:lpwstr>long</vt:lpwstr>
  </property>
  <property fmtid="{D5CDD505-2E9C-101B-9397-08002B2CF9AE}" pid="9" name="date-modified">
    <vt:lpwstr>June 28, 2025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subtitle">
    <vt:lpwstr>Final Report</vt:lpwstr>
  </property>
  <property fmtid="{D5CDD505-2E9C-101B-9397-08002B2CF9AE}" pid="15" name="toc-title">
    <vt:lpwstr>Table of contents</vt:lpwstr>
  </property>
</Properties>
</file>