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3"/>
        <w:ind w:left="100" w:right="0" w:firstLine="0"/>
        <w:jc w:val="left"/>
        <w:rPr>
          <w:sz w:val="40"/>
        </w:rPr>
      </w:pPr>
      <w:r>
        <w:rPr>
          <w:sz w:val="40"/>
        </w:rPr>
        <w:t>期末复习</w:t>
      </w:r>
    </w:p>
    <w:p>
      <w:pPr>
        <w:tabs>
          <w:tab w:pos="1901" w:val="left" w:leader="none"/>
        </w:tabs>
        <w:spacing w:before="103"/>
        <w:ind w:left="100" w:right="0" w:firstLine="0"/>
        <w:jc w:val="left"/>
        <w:rPr>
          <w:rFonts w:ascii="Calibri" w:eastAsia="Calibri"/>
          <w:sz w:val="20"/>
        </w:rPr>
      </w:pPr>
      <w:r>
        <w:rPr>
          <w:rFonts w:ascii="Calibri" w:eastAsia="Calibri"/>
          <w:color w:val="767676"/>
          <w:sz w:val="20"/>
        </w:rPr>
        <w:t>2018</w:t>
      </w:r>
      <w:r>
        <w:rPr>
          <w:color w:val="767676"/>
          <w:sz w:val="20"/>
        </w:rPr>
        <w:t>年</w:t>
      </w:r>
      <w:r>
        <w:rPr>
          <w:rFonts w:ascii="Calibri" w:eastAsia="Calibri"/>
          <w:color w:val="767676"/>
          <w:sz w:val="20"/>
        </w:rPr>
        <w:t>12</w:t>
      </w:r>
      <w:r>
        <w:rPr>
          <w:color w:val="767676"/>
          <w:sz w:val="20"/>
        </w:rPr>
        <w:t>月</w:t>
      </w:r>
      <w:r>
        <w:rPr>
          <w:rFonts w:ascii="Calibri" w:eastAsia="Calibri"/>
          <w:color w:val="767676"/>
          <w:sz w:val="20"/>
        </w:rPr>
        <w:t>24</w:t>
      </w:r>
      <w:r>
        <w:rPr>
          <w:color w:val="767676"/>
          <w:sz w:val="20"/>
        </w:rPr>
        <w:t>日</w:t>
        <w:tab/>
      </w:r>
      <w:r>
        <w:rPr>
          <w:rFonts w:ascii="Calibri" w:eastAsia="Calibri"/>
          <w:color w:val="767676"/>
          <w:position w:val="2"/>
          <w:sz w:val="20"/>
        </w:rPr>
        <w:t>15:22</w:t>
      </w:r>
    </w:p>
    <w:p>
      <w:pPr>
        <w:pStyle w:val="BodyText"/>
        <w:spacing w:line="240" w:lineRule="auto"/>
        <w:ind w:left="0"/>
        <w:rPr>
          <w:rFonts w:ascii="Calibri"/>
          <w:sz w:val="20"/>
        </w:rPr>
      </w:pPr>
    </w:p>
    <w:p>
      <w:pPr>
        <w:pStyle w:val="BodyText"/>
        <w:spacing w:line="240" w:lineRule="auto" w:before="9"/>
        <w:ind w:left="0"/>
        <w:rPr>
          <w:rFonts w:ascii="Calibri"/>
          <w:sz w:val="15"/>
        </w:rPr>
      </w:pPr>
    </w:p>
    <w:p>
      <w:pPr>
        <w:pStyle w:val="BodyText"/>
        <w:spacing w:before="89"/>
        <w:ind w:left="640" w:right="6559" w:hanging="541"/>
      </w:pPr>
      <w:r>
        <w:rPr/>
        <w:t>第1章 公司理财导论公司理财的目标</w:t>
      </w:r>
    </w:p>
    <w:p>
      <w:pPr>
        <w:pStyle w:val="BodyText"/>
        <w:spacing w:line="318" w:lineRule="exact"/>
      </w:pPr>
      <w:r>
        <w:rPr/>
        <w:t>公司理财目标的演化：</w:t>
      </w:r>
    </w:p>
    <w:p>
      <w:pPr>
        <w:pStyle w:val="BodyText"/>
        <w:spacing w:before="19"/>
        <w:ind w:right="4579"/>
      </w:pPr>
      <w:r>
        <w:rPr/>
        <w:t>为什么利润最大化是不合理的从哪里改进利润最大化</w:t>
      </w:r>
    </w:p>
    <w:p>
      <w:pPr>
        <w:pStyle w:val="BodyText"/>
        <w:ind w:left="1720" w:right="5059" w:hanging="540"/>
        <w:rPr>
          <w:rFonts w:ascii="Calibri" w:eastAsia="Calibri"/>
        </w:rPr>
      </w:pPr>
      <w:r>
        <w:rPr/>
        <w:t>价值最大化的内涵是什么账面价值：</w:t>
      </w:r>
      <w:r>
        <w:rPr>
          <w:rFonts w:ascii="Calibri" w:eastAsia="Calibri"/>
        </w:rPr>
        <w:t>BV</w:t>
      </w:r>
    </w:p>
    <w:p>
      <w:pPr>
        <w:pStyle w:val="BodyText"/>
        <w:spacing w:line="228" w:lineRule="auto"/>
        <w:ind w:left="1720" w:right="5617"/>
      </w:pPr>
      <w:r>
        <w:rPr/>
        <w:t>市场价值：</w:t>
      </w:r>
      <w:r>
        <w:rPr>
          <w:rFonts w:ascii="Calibri" w:eastAsia="Calibri"/>
        </w:rPr>
        <w:t>MV</w:t>
      </w:r>
      <w:r>
        <w:rPr/>
        <w:t>内在价值</w:t>
      </w:r>
    </w:p>
    <w:p>
      <w:pPr>
        <w:pStyle w:val="BodyText"/>
        <w:spacing w:line="338" w:lineRule="exact"/>
        <w:ind w:left="2260"/>
      </w:pPr>
      <w:r>
        <w:rPr/>
        <w:t>创造收益流的能力</w:t>
      </w:r>
    </w:p>
    <w:p>
      <w:pPr>
        <w:pStyle w:val="BodyText"/>
        <w:spacing w:line="337" w:lineRule="exact"/>
        <w:ind w:left="2260"/>
      </w:pPr>
      <w:r>
        <w:rPr/>
        <w:t>不同时间点上的收益流：折现</w:t>
      </w:r>
    </w:p>
    <w:p>
      <w:pPr>
        <w:pStyle w:val="BodyText"/>
        <w:spacing w:line="337" w:lineRule="exact"/>
        <w:ind w:left="2260"/>
      </w:pPr>
      <w:r>
        <w:rPr/>
        <w:t>PV: present value FV: future value</w:t>
      </w:r>
    </w:p>
    <w:p>
      <w:pPr>
        <w:pStyle w:val="BodyText"/>
        <w:spacing w:line="337" w:lineRule="exact"/>
        <w:ind w:left="640"/>
      </w:pPr>
      <w:r>
        <w:rPr/>
        <w:t>公司理财的实现</w:t>
      </w:r>
    </w:p>
    <w:p>
      <w:pPr>
        <w:pStyle w:val="BodyText"/>
        <w:spacing w:line="338" w:lineRule="exact"/>
        <w:ind w:left="640"/>
      </w:pPr>
      <w:r>
        <w:rPr/>
        <w:t>实现价值最大化目标中的阻碍</w:t>
      </w:r>
    </w:p>
    <w:p>
      <w:pPr>
        <w:pStyle w:val="BodyText"/>
        <w:spacing w:line="240" w:lineRule="auto" w:before="12"/>
        <w:ind w:left="0"/>
        <w:rPr>
          <w:sz w:val="18"/>
        </w:rPr>
      </w:pPr>
    </w:p>
    <w:p>
      <w:pPr>
        <w:pStyle w:val="BodyText"/>
        <w:spacing w:before="88"/>
        <w:ind w:left="640" w:right="5946" w:hanging="541"/>
      </w:pPr>
      <w:r>
        <w:rPr/>
        <w:t>第2章 公司理财的基本原则行为原则</w:t>
      </w:r>
    </w:p>
    <w:p>
      <w:pPr>
        <w:pStyle w:val="BodyText"/>
        <w:spacing w:line="318" w:lineRule="exact"/>
      </w:pPr>
      <w:r>
        <w:rPr/>
        <w:t>x自利原则</w:t>
      </w:r>
    </w:p>
    <w:p>
      <w:pPr>
        <w:pStyle w:val="BodyText"/>
        <w:spacing w:before="19"/>
        <w:ind w:right="2599" w:firstLine="540"/>
      </w:pPr>
      <w:r>
        <w:rPr/>
        <w:t>更看重机会成本：才会有融资决策成本问题双方交易原则</w:t>
      </w:r>
    </w:p>
    <w:p>
      <w:pPr>
        <w:pStyle w:val="BodyText"/>
        <w:ind w:left="640" w:right="6739" w:firstLine="540"/>
      </w:pPr>
      <w:r>
        <w:rPr/>
        <w:t>模仿原则价值原则</w:t>
      </w:r>
    </w:p>
    <w:p>
      <w:pPr>
        <w:pStyle w:val="BodyText"/>
        <w:spacing w:line="318" w:lineRule="exact"/>
      </w:pPr>
      <w:r>
        <w:rPr/>
        <w:t>现值原则</w:t>
      </w:r>
    </w:p>
    <w:p>
      <w:pPr>
        <w:pStyle w:val="BodyText"/>
        <w:spacing w:before="19"/>
        <w:ind w:left="640" w:right="6739" w:firstLine="540"/>
      </w:pPr>
      <w:r>
        <w:rPr/>
        <w:t>现金原则财务交易原理</w:t>
      </w:r>
    </w:p>
    <w:p>
      <w:pPr>
        <w:pStyle w:val="Heading1"/>
      </w:pPr>
      <w:r>
        <w:rPr/>
        <w:t>风险原则</w:t>
      </w:r>
    </w:p>
    <w:p>
      <w:pPr>
        <w:pStyle w:val="BodyText"/>
        <w:spacing w:line="337" w:lineRule="exact"/>
        <w:ind w:left="1720"/>
      </w:pPr>
      <w:r>
        <w:rPr/>
        <w:t>风险原则分类</w:t>
      </w:r>
    </w:p>
    <w:p>
      <w:pPr>
        <w:spacing w:line="336" w:lineRule="exact" w:before="19" w:after="22"/>
        <w:ind w:left="2800" w:right="1099" w:hanging="540"/>
        <w:jc w:val="left"/>
        <w:rPr>
          <w:b/>
          <w:sz w:val="24"/>
        </w:rPr>
      </w:pPr>
      <w:r>
        <w:rPr>
          <w:sz w:val="24"/>
        </w:rPr>
        <w:t>产生来源分类：财务风险，营运风险，（经济风险）</w:t>
      </w:r>
      <w:r>
        <w:rPr>
          <w:b/>
          <w:w w:val="99"/>
          <w:sz w:val="24"/>
        </w:rPr>
        <w:t>五张图的第一张：风险的分类与传递</w:t>
      </w:r>
    </w:p>
    <w:p>
      <w:pPr>
        <w:pStyle w:val="BodyText"/>
        <w:spacing w:line="240" w:lineRule="auto"/>
        <w:ind w:left="2800"/>
        <w:rPr>
          <w:sz w:val="20"/>
        </w:rPr>
      </w:pPr>
      <w:r>
        <w:rPr>
          <w:sz w:val="20"/>
        </w:rPr>
        <w:drawing>
          <wp:inline distT="0" distB="0" distL="0" distR="0">
            <wp:extent cx="2316153" cy="162153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153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99" w:lineRule="exact"/>
        <w:ind w:left="2260"/>
      </w:pPr>
      <w:r>
        <w:rPr/>
        <w:t>可不可以分散：系统风险，非系统风险</w:t>
      </w:r>
    </w:p>
    <w:p>
      <w:pPr>
        <w:pStyle w:val="BodyText"/>
        <w:spacing w:line="337" w:lineRule="exact"/>
        <w:ind w:left="2800"/>
      </w:pPr>
      <w:r>
        <w:rPr/>
        <w:t>系统性风险主要来源：外部经济风险</w:t>
      </w:r>
    </w:p>
    <w:p>
      <w:pPr>
        <w:pStyle w:val="BodyText"/>
        <w:spacing w:before="19"/>
        <w:ind w:left="2260" w:right="1279" w:firstLine="540"/>
      </w:pPr>
      <w:r>
        <w:rPr/>
        <w:t>与企业的举债也是有关的：贷款利率调整风险杠杆\beta</w:t>
      </w:r>
    </w:p>
    <w:p>
      <w:pPr>
        <w:spacing w:after="0"/>
        <w:sectPr>
          <w:footerReference w:type="default" r:id="rId5"/>
          <w:type w:val="continuous"/>
          <w:pgSz w:w="11910" w:h="16840"/>
          <w:pgMar w:footer="88" w:top="600" w:bottom="280" w:left="1340" w:right="1680"/>
          <w:pgNumType w:start="1"/>
        </w:sectPr>
      </w:pPr>
    </w:p>
    <w:p>
      <w:pPr>
        <w:pStyle w:val="BodyText"/>
        <w:spacing w:line="338" w:lineRule="exact" w:before="45"/>
        <w:ind w:left="2260"/>
      </w:pPr>
      <w:r>
        <w:rPr/>
        <w:t>无杠杆\beta：仅仅反应由行业产生的经营风险</w:t>
      </w:r>
    </w:p>
    <w:p>
      <w:pPr>
        <w:pStyle w:val="BodyText"/>
        <w:spacing w:line="338" w:lineRule="exact"/>
      </w:pPr>
      <w:r>
        <w:rPr/>
        <w:t>杠杆原则</w:t>
      </w:r>
    </w:p>
    <w:p>
      <w:pPr>
        <w:pStyle w:val="BodyText"/>
        <w:spacing w:line="337" w:lineRule="exact"/>
      </w:pPr>
      <w:r>
        <w:rPr/>
        <w:t>灵活性原则</w:t>
      </w:r>
    </w:p>
    <w:p>
      <w:pPr>
        <w:pStyle w:val="BodyText"/>
        <w:spacing w:line="240" w:lineRule="auto" w:before="12"/>
        <w:ind w:left="0"/>
        <w:rPr>
          <w:sz w:val="18"/>
        </w:rPr>
      </w:pPr>
    </w:p>
    <w:p>
      <w:pPr>
        <w:spacing w:line="336" w:lineRule="exact" w:before="88"/>
        <w:ind w:left="640" w:right="6240" w:hanging="541"/>
        <w:jc w:val="left"/>
        <w:rPr>
          <w:sz w:val="24"/>
        </w:rPr>
      </w:pPr>
      <w:r>
        <w:rPr>
          <w:b/>
          <w:spacing w:val="1"/>
          <w:w w:val="99"/>
          <w:sz w:val="24"/>
        </w:rPr>
        <w:t>第</w:t>
      </w:r>
      <w:r>
        <w:rPr>
          <w:b/>
          <w:spacing w:val="1"/>
          <w:w w:val="99"/>
          <w:sz w:val="24"/>
        </w:rPr>
        <w:t>3</w:t>
      </w:r>
      <w:r>
        <w:rPr>
          <w:b/>
          <w:spacing w:val="59"/>
          <w:w w:val="99"/>
          <w:sz w:val="24"/>
        </w:rPr>
        <w:t>章</w:t>
      </w:r>
      <w:r>
        <w:rPr>
          <w:b/>
          <w:w w:val="99"/>
          <w:sz w:val="24"/>
        </w:rPr>
        <w:t>财务分析与增长管理</w:t>
      </w:r>
      <w:r>
        <w:rPr>
          <w:sz w:val="24"/>
        </w:rPr>
        <w:t>财务分析基础</w:t>
      </w:r>
    </w:p>
    <w:p>
      <w:pPr>
        <w:spacing w:line="336" w:lineRule="exact" w:before="1"/>
        <w:ind w:left="1180" w:right="4873" w:firstLine="0"/>
        <w:jc w:val="left"/>
        <w:rPr>
          <w:sz w:val="24"/>
        </w:rPr>
      </w:pPr>
      <w:r>
        <w:rPr>
          <w:b/>
          <w:spacing w:val="1"/>
          <w:w w:val="99"/>
          <w:sz w:val="24"/>
        </w:rPr>
        <w:t>资产负债</w:t>
      </w:r>
      <w:r>
        <w:rPr>
          <w:b/>
          <w:w w:val="99"/>
          <w:sz w:val="24"/>
        </w:rPr>
        <w:t>表→管理资产负债表</w:t>
      </w:r>
      <w:r>
        <w:rPr>
          <w:sz w:val="24"/>
        </w:rPr>
        <w:t>分析企业的问题</w:t>
      </w:r>
    </w:p>
    <w:p>
      <w:pPr>
        <w:pStyle w:val="BodyText"/>
        <w:spacing w:line="318" w:lineRule="exact"/>
        <w:ind w:left="1720"/>
      </w:pPr>
      <w:r>
        <w:rPr/>
        <w:t>盈利能力</w:t>
      </w:r>
    </w:p>
    <w:p>
      <w:pPr>
        <w:pStyle w:val="BodyText"/>
        <w:spacing w:line="337" w:lineRule="exact"/>
        <w:ind w:left="1720"/>
      </w:pPr>
      <w:r>
        <w:rPr/>
        <w:t>资金链安全问题</w:t>
      </w:r>
    </w:p>
    <w:p>
      <w:pPr>
        <w:pStyle w:val="BodyText"/>
        <w:spacing w:line="338" w:lineRule="exact"/>
        <w:ind w:left="2260"/>
      </w:pPr>
      <w:r>
        <w:rPr/>
        <w:t>易变现率：WCR中</w:t>
      </w:r>
    </w:p>
    <w:p>
      <w:pPr>
        <w:pStyle w:val="BodyText"/>
        <w:ind w:left="640"/>
      </w:pPr>
      <w:r>
        <w:rPr/>
        <w:t>财务分析方法</w:t>
      </w:r>
    </w:p>
    <w:p>
      <w:pPr>
        <w:spacing w:line="336" w:lineRule="exact" w:before="19"/>
        <w:ind w:left="1180" w:right="6079" w:hanging="540"/>
        <w:jc w:val="left"/>
        <w:rPr>
          <w:sz w:val="24"/>
        </w:rPr>
      </w:pPr>
      <w:r>
        <w:rPr>
          <w:b/>
          <w:w w:val="99"/>
          <w:sz w:val="24"/>
        </w:rPr>
        <w:t>财务预测与增长管理</w:t>
      </w:r>
      <w:r>
        <w:rPr>
          <w:sz w:val="24"/>
        </w:rPr>
        <w:t>可持续增长的内涵</w:t>
      </w:r>
    </w:p>
    <w:p>
      <w:pPr>
        <w:pStyle w:val="BodyText"/>
        <w:spacing w:line="319" w:lineRule="exact"/>
      </w:pPr>
      <w:r>
        <w:rPr/>
        <w:t>可持续增长率的计算</w:t>
      </w:r>
    </w:p>
    <w:p>
      <w:pPr>
        <w:pStyle w:val="BodyText"/>
        <w:spacing w:line="240" w:lineRule="auto" w:before="12"/>
        <w:ind w:left="0"/>
        <w:rPr>
          <w:sz w:val="18"/>
        </w:rPr>
      </w:pPr>
    </w:p>
    <w:p>
      <w:pPr>
        <w:spacing w:line="336" w:lineRule="exact" w:before="88"/>
        <w:ind w:left="640" w:right="6379" w:hanging="541"/>
        <w:jc w:val="left"/>
        <w:rPr>
          <w:sz w:val="24"/>
        </w:rPr>
      </w:pPr>
      <w:r>
        <w:rPr>
          <w:b/>
          <w:spacing w:val="1"/>
          <w:w w:val="99"/>
          <w:sz w:val="24"/>
        </w:rPr>
        <w:t>第</w:t>
      </w:r>
      <w:r>
        <w:rPr>
          <w:b/>
          <w:spacing w:val="1"/>
          <w:w w:val="99"/>
          <w:sz w:val="24"/>
        </w:rPr>
        <w:t>4</w:t>
      </w:r>
      <w:r>
        <w:rPr>
          <w:b/>
          <w:spacing w:val="1"/>
          <w:w w:val="99"/>
          <w:sz w:val="24"/>
        </w:rPr>
        <w:t>章</w:t>
      </w:r>
      <w:r>
        <w:rPr>
          <w:b/>
          <w:w w:val="99"/>
          <w:sz w:val="24"/>
        </w:rPr>
        <w:t>&amp;</w:t>
      </w:r>
      <w:r>
        <w:rPr>
          <w:b/>
          <w:w w:val="99"/>
          <w:sz w:val="24"/>
        </w:rPr>
        <w:t>第</w:t>
      </w:r>
      <w:r>
        <w:rPr>
          <w:b/>
          <w:w w:val="99"/>
          <w:sz w:val="24"/>
        </w:rPr>
        <w:t>5</w:t>
      </w:r>
      <w:r>
        <w:rPr>
          <w:b/>
          <w:spacing w:val="57"/>
          <w:w w:val="99"/>
          <w:sz w:val="24"/>
        </w:rPr>
        <w:t>章</w:t>
      </w:r>
      <w:r>
        <w:rPr>
          <w:b/>
          <w:spacing w:val="1"/>
          <w:w w:val="99"/>
          <w:sz w:val="24"/>
        </w:rPr>
        <w:t>融资决策</w:t>
      </w:r>
      <w:r>
        <w:rPr>
          <w:sz w:val="24"/>
        </w:rPr>
        <w:t>到哪去找：融资工具</w:t>
      </w:r>
    </w:p>
    <w:p>
      <w:pPr>
        <w:pStyle w:val="BodyText"/>
        <w:spacing w:before="1"/>
        <w:ind w:left="640" w:right="3679" w:firstLine="540"/>
      </w:pPr>
      <w:r>
        <w:rPr/>
        <w:t>性质分：权益性融资，债务性融资的优劣融资成本如何估算</w:t>
      </w:r>
    </w:p>
    <w:p>
      <w:pPr>
        <w:pStyle w:val="BodyText"/>
        <w:spacing w:line="318" w:lineRule="exact"/>
      </w:pPr>
      <w:r>
        <w:rPr/>
        <w:t>债务成本，资本成本</w:t>
      </w:r>
    </w:p>
    <w:p>
      <w:pPr>
        <w:pStyle w:val="Heading1"/>
        <w:spacing w:line="344" w:lineRule="exact"/>
      </w:pPr>
      <w:r>
        <w:rPr>
          <w:rFonts w:ascii="Calibri" w:eastAsia="Calibri"/>
        </w:rPr>
        <w:t>WACC</w:t>
      </w:r>
      <w:r>
        <w:rPr/>
        <w:t>怎么算</w:t>
      </w:r>
    </w:p>
    <w:p>
      <w:pPr>
        <w:pStyle w:val="BodyText"/>
        <w:spacing w:before="12"/>
        <w:ind w:right="107"/>
      </w:pPr>
      <w:r>
        <w:rPr/>
        <w:t>MV</w:t>
      </w:r>
      <w:r>
        <w:rPr>
          <w:spacing w:val="-1"/>
        </w:rPr>
        <w:t>A</w:t>
      </w:r>
      <w:r>
        <w:rPr/>
        <w:t>最大化：投资决定的ROIC最大化，融资决定的WACC最小化，g的最大化</w:t>
      </w:r>
    </w:p>
    <w:p>
      <w:pPr>
        <w:pStyle w:val="BodyText"/>
        <w:spacing w:line="319" w:lineRule="exact"/>
        <w:ind w:left="640"/>
      </w:pPr>
      <w:r>
        <w:rPr/>
        <w:t>资本结构理论</w:t>
      </w:r>
    </w:p>
    <w:p>
      <w:pPr>
        <w:pStyle w:val="BodyText"/>
        <w:spacing w:line="337" w:lineRule="exact"/>
      </w:pPr>
      <w:r>
        <w:rPr/>
        <w:t>无关论 MM1</w:t>
      </w:r>
    </w:p>
    <w:p>
      <w:pPr>
        <w:pStyle w:val="BodyText"/>
        <w:spacing w:before="19"/>
        <w:ind w:left="1720" w:right="3619"/>
      </w:pPr>
      <w:r>
        <w:rPr/>
        <w:t>不成立原因：假设资本市场是完备的最重要的问题：税的问题</w:t>
      </w:r>
    </w:p>
    <w:p>
      <w:pPr>
        <w:pStyle w:val="BodyText"/>
        <w:spacing w:line="318" w:lineRule="exact"/>
      </w:pPr>
      <w:r>
        <w:rPr/>
        <w:t>相关论 MM2</w:t>
      </w:r>
    </w:p>
    <w:p>
      <w:pPr>
        <w:pStyle w:val="BodyText"/>
        <w:spacing w:line="337" w:lineRule="exact"/>
        <w:ind w:left="1720"/>
      </w:pPr>
      <w:r>
        <w:rPr/>
        <w:t>只考虑的举债所带来的好处（税盾）</w:t>
      </w:r>
    </w:p>
    <w:p>
      <w:pPr>
        <w:pStyle w:val="BodyText"/>
        <w:spacing w:before="19"/>
        <w:ind w:right="2419" w:firstLine="540"/>
      </w:pPr>
      <w:r>
        <w:rPr/>
        <w:t>举债多，财务风险越大，出资人要求的收益越大权衡理论</w:t>
      </w:r>
    </w:p>
    <w:p>
      <w:pPr>
        <w:pStyle w:val="BodyText"/>
        <w:spacing w:line="318" w:lineRule="exact"/>
        <w:ind w:left="1720"/>
      </w:pPr>
      <w:r>
        <w:rPr/>
        <w:t>权衡理论的资本成本</w:t>
      </w:r>
    </w:p>
    <w:p>
      <w:pPr>
        <w:pStyle w:val="BodyText"/>
        <w:spacing w:line="338" w:lineRule="exact"/>
        <w:ind w:left="2260"/>
      </w:pPr>
      <w:r>
        <w:rPr/>
        <w:drawing>
          <wp:anchor distT="0" distB="0" distL="0" distR="0" allowOverlap="1" layoutInCell="1" locked="0" behindDoc="1" simplePos="0" relativeHeight="268431047">
            <wp:simplePos x="0" y="0"/>
            <wp:positionH relativeFrom="page">
              <wp:posOffset>2286254</wp:posOffset>
            </wp:positionH>
            <wp:positionV relativeFrom="paragraph">
              <wp:posOffset>239723</wp:posOffset>
            </wp:positionV>
            <wp:extent cx="1947925" cy="1395476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925" cy="13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图：资本结构的成本</w:t>
      </w:r>
    </w:p>
    <w:p>
      <w:pPr>
        <w:pStyle w:val="BodyText"/>
        <w:spacing w:line="240" w:lineRule="auto"/>
        <w:ind w:left="0"/>
        <w:rPr>
          <w:sz w:val="32"/>
        </w:rPr>
      </w:pPr>
    </w:p>
    <w:p>
      <w:pPr>
        <w:pStyle w:val="BodyText"/>
        <w:spacing w:line="240" w:lineRule="auto"/>
        <w:ind w:left="0"/>
        <w:rPr>
          <w:sz w:val="32"/>
        </w:rPr>
      </w:pPr>
    </w:p>
    <w:p>
      <w:pPr>
        <w:pStyle w:val="BodyText"/>
        <w:spacing w:line="240" w:lineRule="auto"/>
        <w:ind w:left="0"/>
        <w:rPr>
          <w:sz w:val="32"/>
        </w:rPr>
      </w:pPr>
    </w:p>
    <w:p>
      <w:pPr>
        <w:pStyle w:val="BodyText"/>
        <w:spacing w:line="240" w:lineRule="auto"/>
        <w:ind w:left="0"/>
        <w:rPr>
          <w:sz w:val="32"/>
        </w:rPr>
      </w:pPr>
    </w:p>
    <w:p>
      <w:pPr>
        <w:pStyle w:val="BodyText"/>
        <w:spacing w:line="240" w:lineRule="auto" w:before="13"/>
        <w:ind w:left="0"/>
        <w:rPr>
          <w:sz w:val="28"/>
        </w:rPr>
      </w:pPr>
    </w:p>
    <w:p>
      <w:pPr>
        <w:pStyle w:val="BodyText"/>
        <w:ind w:left="2260" w:right="1142"/>
      </w:pPr>
      <w:r>
        <w:rPr/>
        <w:t>没有负债时股东出资要求的回报率→与\beta_u相对应股东出资要求的汇报与</w:t>
      </w:r>
      <w:r>
        <w:rPr>
          <w:rFonts w:ascii="Calibri" w:hAnsi="Calibri" w:eastAsia="Calibri"/>
          <w:spacing w:val="-1"/>
        </w:rPr>
        <w:t>\bet</w:t>
      </w:r>
      <w:r>
        <w:rPr>
          <w:rFonts w:ascii="Calibri" w:hAnsi="Calibri" w:eastAsia="Calibri"/>
        </w:rPr>
        <w:t>a_L</w:t>
      </w:r>
      <w:r>
        <w:rPr/>
        <w:t>相对应</w:t>
      </w:r>
    </w:p>
    <w:p>
      <w:pPr>
        <w:pStyle w:val="BodyText"/>
        <w:spacing w:line="318" w:lineRule="exact"/>
        <w:ind w:left="2260"/>
      </w:pPr>
      <w:r>
        <w:rPr/>
        <w:t>CAPM估算股东的出资要求回报</w:t>
      </w:r>
    </w:p>
    <w:p>
      <w:pPr>
        <w:pStyle w:val="BodyText"/>
        <w:spacing w:line="338" w:lineRule="exact"/>
        <w:ind w:left="2260"/>
      </w:pPr>
      <w:r>
        <w:rPr/>
        <w:t>图：资本结构论</w:t>
      </w:r>
    </w:p>
    <w:p>
      <w:pPr>
        <w:spacing w:after="0" w:line="338" w:lineRule="exact"/>
        <w:sectPr>
          <w:pgSz w:w="11910" w:h="16840"/>
          <w:pgMar w:header="0" w:footer="88" w:top="600" w:bottom="280" w:left="1340" w:right="1380"/>
        </w:sectPr>
      </w:pPr>
    </w:p>
    <w:p>
      <w:pPr>
        <w:pStyle w:val="BodyText"/>
        <w:spacing w:line="240" w:lineRule="auto"/>
        <w:ind w:left="2260"/>
        <w:rPr>
          <w:sz w:val="20"/>
        </w:rPr>
      </w:pPr>
      <w:r>
        <w:rPr>
          <w:sz w:val="20"/>
        </w:rPr>
        <w:drawing>
          <wp:inline distT="0" distB="0" distL="0" distR="0">
            <wp:extent cx="1758410" cy="1335024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41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0" w:lineRule="auto" w:before="5"/>
        <w:ind w:left="0"/>
        <w:rPr>
          <w:sz w:val="16"/>
        </w:rPr>
      </w:pPr>
    </w:p>
    <w:p>
      <w:pPr>
        <w:pStyle w:val="BodyText"/>
        <w:spacing w:before="89"/>
        <w:ind w:left="640" w:right="6631" w:hanging="541"/>
      </w:pPr>
      <w:r>
        <w:rPr/>
        <w:t>第6章</w:t>
      </w:r>
      <w:r>
        <w:rPr>
          <w:spacing w:val="-1"/>
        </w:rPr>
        <w:t>&amp;</w:t>
      </w:r>
      <w:r>
        <w:rPr/>
        <w:t>第7章 投资决策现金流估算</w:t>
      </w:r>
    </w:p>
    <w:p>
      <w:pPr>
        <w:spacing w:before="120"/>
        <w:ind w:left="2300" w:right="0" w:firstLine="0"/>
        <w:jc w:val="left"/>
        <w:rPr>
          <w:rFonts w:ascii="Cambria Math"/>
          <w:sz w:val="17"/>
        </w:rPr>
      </w:pPr>
      <w:r>
        <w:rPr>
          <w:rFonts w:ascii="Cambria Math"/>
          <w:spacing w:val="-1"/>
          <w:w w:val="274"/>
          <w:sz w:val="24"/>
        </w:rPr>
        <w:t> </w:t>
      </w:r>
      <w:r>
        <w:rPr>
          <w:rFonts w:ascii="Cambria Math"/>
          <w:spacing w:val="11"/>
          <w:w w:val="274"/>
          <w:sz w:val="24"/>
        </w:rPr>
        <w:t> </w:t>
      </w:r>
      <w:r>
        <w:rPr>
          <w:rFonts w:ascii="Cambria Math"/>
          <w:spacing w:val="-27"/>
          <w:w w:val="277"/>
          <w:sz w:val="24"/>
        </w:rPr>
        <w:t> </w:t>
      </w:r>
      <w:r>
        <w:rPr>
          <w:rFonts w:ascii="Cambria Math"/>
          <w:w w:val="205"/>
          <w:position w:val="-4"/>
          <w:sz w:val="17"/>
        </w:rPr>
        <w:t> </w:t>
      </w:r>
    </w:p>
    <w:p>
      <w:pPr>
        <w:pStyle w:val="BodyText"/>
        <w:spacing w:line="240" w:lineRule="auto" w:before="22"/>
        <w:rPr>
          <w:rFonts w:ascii="Cambria Math"/>
          <w:sz w:val="17"/>
        </w:rPr>
      </w:pPr>
      <w:r>
        <w:rPr>
          <w:rFonts w:ascii="Cambria Math"/>
          <w:w w:val="266"/>
          <w:position w:val="16"/>
        </w:rPr>
        <w:t>  </w:t>
      </w:r>
      <w:r>
        <w:rPr>
          <w:rFonts w:ascii="Cambria Math"/>
          <w:spacing w:val="13"/>
          <w:position w:val="16"/>
        </w:rPr>
        <w:t> </w:t>
      </w:r>
      <w:r>
        <w:rPr>
          <w:rFonts w:ascii="Cambria Math"/>
          <w:w w:val="339"/>
          <w:position w:val="16"/>
        </w:rPr>
        <w:t> </w:t>
      </w:r>
      <w:r>
        <w:rPr>
          <w:rFonts w:ascii="Cambria Math"/>
          <w:spacing w:val="13"/>
          <w:position w:val="16"/>
        </w:rPr>
        <w:t> </w:t>
      </w:r>
      <w:r>
        <w:rPr>
          <w:rFonts w:ascii="Cambria Math"/>
          <w:w w:val="600"/>
          <w:position w:val="16"/>
        </w:rPr>
        <w:t> </w:t>
      </w:r>
      <w:r>
        <w:rPr>
          <w:rFonts w:ascii="Cambria Math"/>
          <w:spacing w:val="-14"/>
          <w:position w:val="16"/>
        </w:rPr>
        <w:t> </w:t>
      </w:r>
      <w:r>
        <w:rPr>
          <w:rFonts w:ascii="Cambria Math"/>
          <w:w w:val="188"/>
          <w:position w:val="1"/>
        </w:rPr>
        <w:t> </w:t>
      </w:r>
      <w:r>
        <w:rPr>
          <w:rFonts w:ascii="Cambria Math"/>
          <w:w w:val="251"/>
        </w:rPr>
        <w:t> </w:t>
      </w:r>
      <w:r>
        <w:rPr>
          <w:rFonts w:ascii="Cambria Math"/>
        </w:rPr>
        <w:t> </w:t>
      </w:r>
      <w:r>
        <w:rPr>
          <w:rFonts w:ascii="Cambria Math"/>
          <w:w w:val="339"/>
        </w:rPr>
        <w:t> </w:t>
      </w:r>
      <w:r>
        <w:rPr>
          <w:rFonts w:ascii="Cambria Math"/>
        </w:rPr>
        <w:t> </w:t>
      </w:r>
      <w:r>
        <w:rPr>
          <w:rFonts w:ascii="Cambria Math"/>
          <w:spacing w:val="6"/>
          <w:w w:val="250"/>
        </w:rPr>
        <w:t> </w:t>
      </w:r>
      <w:r>
        <w:rPr>
          <w:rFonts w:ascii="Cambria Math"/>
          <w:spacing w:val="1"/>
          <w:w w:val="188"/>
          <w:position w:val="1"/>
        </w:rPr>
        <w:t> </w:t>
      </w:r>
      <w:r>
        <w:rPr>
          <w:rFonts w:ascii="Cambria Math"/>
          <w:w w:val="205"/>
          <w:position w:val="7"/>
          <w:sz w:val="17"/>
        </w:rPr>
        <w:t> </w:t>
      </w:r>
    </w:p>
    <w:p>
      <w:pPr>
        <w:pStyle w:val="BodyText"/>
        <w:spacing w:before="124"/>
        <w:ind w:left="1720" w:right="3089" w:hanging="540"/>
      </w:pPr>
      <w:r>
        <w:rPr/>
        <w:t>如何估算</w:t>
      </w:r>
      <w:r>
        <w:rPr>
          <w:rFonts w:ascii="Calibri" w:eastAsia="Calibri"/>
          <w:spacing w:val="-1"/>
        </w:rPr>
        <w:t>F</w:t>
      </w:r>
      <w:r>
        <w:rPr>
          <w:rFonts w:ascii="Calibri" w:eastAsia="Calibri"/>
        </w:rPr>
        <w:t>CF</w:t>
      </w:r>
      <w:r>
        <w:rPr>
          <w:rFonts w:ascii="Calibri" w:eastAsia="Calibri"/>
          <w:spacing w:val="-1"/>
        </w:rPr>
        <w:t> fr</w:t>
      </w:r>
      <w:r>
        <w:rPr>
          <w:rFonts w:ascii="Calibri" w:eastAsia="Calibri"/>
        </w:rPr>
        <w:t>ee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cashflow</w:t>
      </w:r>
      <w:r>
        <w:rPr>
          <w:rFonts w:ascii="Calibri" w:eastAsia="Calibri"/>
          <w:spacing w:val="-1"/>
        </w:rPr>
        <w:t> </w:t>
      </w:r>
      <w:r>
        <w:rPr/>
        <w:t>相关现金流增量原则因为项目投资发生改变的现金流</w:t>
      </w:r>
    </w:p>
    <w:p>
      <w:pPr>
        <w:pStyle w:val="BodyText"/>
        <w:spacing w:line="318" w:lineRule="exact"/>
        <w:ind w:left="1720"/>
      </w:pPr>
      <w:r>
        <w:rPr/>
        <w:t>费用均摊，沉没成本</w:t>
      </w:r>
    </w:p>
    <w:p>
      <w:pPr>
        <w:pStyle w:val="BodyText"/>
        <w:spacing w:line="337" w:lineRule="exact"/>
      </w:pPr>
      <w:r>
        <w:rPr/>
        <w:t>精确估算期，连续价值</w:t>
      </w:r>
    </w:p>
    <w:p>
      <w:pPr>
        <w:pStyle w:val="BodyText"/>
        <w:spacing w:before="19"/>
        <w:ind w:left="640" w:right="4799" w:firstLine="1080"/>
      </w:pPr>
      <w:r>
        <w:rPr/>
        <w:t>连续价值在精确估算期末投资决策的评价方法</w:t>
      </w:r>
    </w:p>
    <w:p>
      <w:pPr>
        <w:pStyle w:val="BodyText"/>
        <w:spacing w:before="1"/>
        <w:ind w:left="1720" w:right="4486" w:hanging="540"/>
      </w:pPr>
      <w:r>
        <w:rPr/>
        <w:t>基础评价法（5）：基本评判逻辑贴现</w:t>
      </w:r>
    </w:p>
    <w:p>
      <w:pPr>
        <w:pStyle w:val="Heading1"/>
        <w:ind w:left="2260"/>
      </w:pPr>
      <w:r>
        <w:rPr/>
        <w:t>净现值NPV</w:t>
      </w:r>
    </w:p>
    <w:p>
      <w:pPr>
        <w:pStyle w:val="BodyText"/>
        <w:spacing w:line="337" w:lineRule="exact"/>
        <w:ind w:left="2800"/>
      </w:pPr>
      <w:r>
        <w:rPr/>
        <w:t>以NPV&gt;0为标准</w:t>
      </w:r>
    </w:p>
    <w:p>
      <w:pPr>
        <w:pStyle w:val="BodyText"/>
        <w:spacing w:line="337" w:lineRule="exact"/>
        <w:ind w:left="2800"/>
      </w:pPr>
      <w:r>
        <w:rPr/>
        <w:t>站在价值增量的角度评价</w:t>
      </w:r>
    </w:p>
    <w:p>
      <w:pPr>
        <w:pStyle w:val="BodyText"/>
        <w:spacing w:line="337" w:lineRule="exact"/>
        <w:ind w:left="2800"/>
      </w:pPr>
      <w:r>
        <w:rPr/>
        <w:t>NPV和EVA的关系：理念是一致的，EVA是所有项目的NPV</w:t>
      </w:r>
    </w:p>
    <w:p>
      <w:pPr>
        <w:pStyle w:val="BodyText"/>
        <w:spacing w:line="338" w:lineRule="exact"/>
        <w:ind w:left="2800"/>
      </w:pPr>
      <w:r>
        <w:rPr/>
        <w:t>缺陷</w:t>
      </w:r>
    </w:p>
    <w:p>
      <w:pPr>
        <w:pStyle w:val="BodyText"/>
        <w:ind w:left="3326" w:right="3644"/>
        <w:jc w:val="center"/>
      </w:pPr>
      <w:r>
        <w:rPr/>
        <w:t>计算复杂，难以理解</w:t>
      </w:r>
    </w:p>
    <w:p>
      <w:pPr>
        <w:pStyle w:val="BodyText"/>
        <w:spacing w:before="19"/>
        <w:ind w:left="3340" w:right="1979"/>
      </w:pPr>
      <w:r>
        <w:rPr/>
        <w:t>没有考虑到投资中现金流的变化问题多期决策</w:t>
      </w:r>
    </w:p>
    <w:p>
      <w:pPr>
        <w:pStyle w:val="BodyText"/>
        <w:ind w:left="2260" w:right="4619" w:firstLine="1080"/>
      </w:pPr>
      <w:r>
        <w:rPr/>
        <w:t>中间不做了内部收益率 IRR</w:t>
      </w:r>
    </w:p>
    <w:p>
      <w:pPr>
        <w:pStyle w:val="BodyText"/>
        <w:spacing w:before="1"/>
        <w:ind w:left="1720" w:right="5939" w:firstLine="540"/>
      </w:pPr>
      <w:r>
        <w:rPr/>
        <w:t>获利指数非贴现</w:t>
      </w:r>
    </w:p>
    <w:p>
      <w:pPr>
        <w:pStyle w:val="BodyText"/>
        <w:spacing w:line="318" w:lineRule="exact"/>
        <w:ind w:left="2260"/>
      </w:pPr>
      <w:r>
        <w:rPr/>
        <w:t>回收期</w:t>
      </w:r>
    </w:p>
    <w:p>
      <w:pPr>
        <w:pStyle w:val="BodyText"/>
        <w:spacing w:line="337" w:lineRule="exact"/>
        <w:ind w:left="2260"/>
      </w:pPr>
      <w:r>
        <w:rPr/>
        <w:t>平均收益率</w:t>
      </w:r>
    </w:p>
    <w:p>
      <w:pPr>
        <w:pStyle w:val="BodyText"/>
        <w:spacing w:before="19"/>
        <w:ind w:right="4180"/>
      </w:pPr>
      <w:r>
        <w:rPr/>
        <w:t>未来预测收益流可能不太准 - 敏感性多期决策 - 决策树</w:t>
      </w:r>
    </w:p>
    <w:p>
      <w:pPr>
        <w:pStyle w:val="BodyText"/>
        <w:spacing w:line="318" w:lineRule="exact"/>
      </w:pPr>
      <w:r>
        <w:rPr/>
        <w:t>资本决策不稳定 - 修正现值法</w:t>
      </w:r>
    </w:p>
    <w:p>
      <w:pPr>
        <w:pStyle w:val="BodyText"/>
        <w:spacing w:line="337" w:lineRule="exact"/>
      </w:pPr>
      <w:r>
        <w:rPr>
          <w:strike/>
        </w:rPr>
        <w:t>实物期权法</w:t>
      </w:r>
    </w:p>
    <w:p>
      <w:pPr>
        <w:pStyle w:val="BodyText"/>
        <w:spacing w:line="338" w:lineRule="exact"/>
      </w:pPr>
      <w:r>
        <w:rPr/>
        <w:t>拍脑袋方法：信号灯理论</w:t>
      </w:r>
    </w:p>
    <w:p>
      <w:pPr>
        <w:pStyle w:val="BodyText"/>
        <w:spacing w:line="240" w:lineRule="auto" w:before="12"/>
        <w:ind w:left="0"/>
        <w:rPr>
          <w:sz w:val="18"/>
        </w:rPr>
      </w:pPr>
    </w:p>
    <w:p>
      <w:pPr>
        <w:pStyle w:val="BodyText"/>
        <w:spacing w:line="237" w:lineRule="auto" w:before="71"/>
        <w:ind w:left="640" w:right="6599" w:hanging="541"/>
      </w:pPr>
      <w:r>
        <w:rPr/>
        <w:t>第8章 创造价值的理论</w:t>
      </w:r>
      <w:r>
        <w:rPr>
          <w:strike/>
        </w:rPr>
        <w:t>公司价值评估方法</w:t>
      </w:r>
      <w:r>
        <w:rPr>
          <w:strike w:val="0"/>
        </w:rPr>
        <w:t>价值创造的度量</w:t>
      </w:r>
    </w:p>
    <w:p>
      <w:pPr>
        <w:pStyle w:val="BodyText"/>
        <w:spacing w:before="18"/>
        <w:ind w:left="640" w:right="1364" w:firstLine="540"/>
      </w:pPr>
      <w:r>
        <w:rPr/>
        <w:t>MVA E</w:t>
      </w:r>
      <w:r>
        <w:rPr>
          <w:spacing w:val="-1"/>
        </w:rPr>
        <w:t>V</w:t>
      </w:r>
      <w:r>
        <w:rPr/>
        <w:t>A：会算，理解E</w:t>
      </w:r>
      <w:r>
        <w:rPr>
          <w:spacing w:val="-1"/>
        </w:rPr>
        <w:t>V</w:t>
      </w:r>
      <w:r>
        <w:rPr/>
        <w:t>A计算过程中的几项彼此之间的关系价值创造的途径</w:t>
      </w:r>
    </w:p>
    <w:p>
      <w:pPr>
        <w:pStyle w:val="BodyText"/>
        <w:spacing w:line="319" w:lineRule="exact"/>
        <w:ind w:left="640"/>
      </w:pPr>
      <w:r>
        <w:rPr/>
        <w:t>价值导向管理</w:t>
      </w:r>
    </w:p>
    <w:p>
      <w:pPr>
        <w:spacing w:after="0" w:line="319" w:lineRule="exact"/>
        <w:sectPr>
          <w:pgSz w:w="11910" w:h="16840"/>
          <w:pgMar w:header="0" w:footer="88" w:top="700" w:bottom="280" w:left="1340" w:right="1400"/>
        </w:sectPr>
      </w:pPr>
    </w:p>
    <w:p>
      <w:pPr>
        <w:pStyle w:val="BodyText"/>
        <w:spacing w:line="338" w:lineRule="exact" w:before="41"/>
        <w:ind w:left="100"/>
      </w:pPr>
      <w:r>
        <w:rPr/>
        <w:t>考试</w:t>
      </w:r>
    </w:p>
    <w:p>
      <w:pPr>
        <w:pStyle w:val="BodyText"/>
        <w:spacing w:before="19"/>
        <w:ind w:left="640" w:right="5119"/>
      </w:pPr>
      <w:r>
        <w:rPr/>
        <w:t>计算：不涉及贴现现金流问题简答：基于案例本身</w:t>
      </w:r>
    </w:p>
    <w:p>
      <w:pPr>
        <w:pStyle w:val="BodyText"/>
        <w:spacing w:line="318" w:lineRule="exact"/>
        <w:ind w:left="640"/>
      </w:pPr>
      <w:r>
        <w:rPr/>
        <w:t>要由解释，由评价</w:t>
      </w:r>
    </w:p>
    <w:p>
      <w:pPr>
        <w:pStyle w:val="BodyText"/>
        <w:spacing w:line="338" w:lineRule="exact"/>
        <w:ind w:left="640"/>
      </w:pPr>
      <w:r>
        <w:rPr/>
        <w:t>对涉及到的计算公式的理解</w:t>
      </w:r>
    </w:p>
    <w:sectPr>
      <w:pgSz w:w="11910" w:h="16840"/>
      <w:pgMar w:header="0" w:footer="88" w:top="9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华文细黑">
    <w:altName w:val="华文细黑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4.119995pt;margin-top:826.498596pt;width:107.05pt;height:15.8pt;mso-position-horizontal-relative:page;mso-position-vertical-relative:page;z-index:-4408" type="#_x0000_t202" filled="false" stroked="false">
          <v:textbox inset="0,0,0,0">
            <w:txbxContent>
              <w:p>
                <w:pPr>
                  <w:spacing w:line="278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分区公司理财的第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z w:val="20"/>
                  </w:rPr>
                  <w:t> </w:t>
                </w:r>
                <w:r>
                  <w:rPr>
                    <w:sz w:val="20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华文细黑" w:hAnsi="华文细黑" w:eastAsia="华文细黑" w:cs="华文细黑"/>
    </w:rPr>
  </w:style>
  <w:style w:styleId="BodyText" w:type="paragraph">
    <w:name w:val="Body Text"/>
    <w:basedOn w:val="Normal"/>
    <w:uiPriority w:val="1"/>
    <w:qFormat/>
    <w:pPr>
      <w:spacing w:line="336" w:lineRule="exact"/>
      <w:ind w:left="1180"/>
    </w:pPr>
    <w:rPr>
      <w:rFonts w:ascii="华文细黑" w:hAnsi="华文细黑" w:eastAsia="华文细黑" w:cs="华文细黑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318" w:lineRule="exact"/>
      <w:ind w:left="1180"/>
      <w:outlineLvl w:val="1"/>
    </w:pPr>
    <w:rPr>
      <w:rFonts w:ascii="华文细黑" w:hAnsi="华文细黑" w:eastAsia="华文细黑" w:cs="华文细黑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2018-12-24T16:45:04Z</dcterms:created>
  <dcterms:modified xsi:type="dcterms:W3CDTF">2018-12-24T16:45:04Z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2018-12-24T00:00:00Z</vt:filetime>
  </property>
  <property fmtid="{D5CDD505-2E9C-101B-9397-08002B2CF9AE}" pid="3" name="Creator">
    <vt:lpwstr>Microsoft® OneNote® for Office 365</vt:lpwstr>
  </property>
  <property fmtid="{D5CDD505-2E9C-101B-9397-08002B2CF9AE}" pid="4" name="LastSaved">
    <vt:filetime>2018-12-24T00:00:00Z</vt:filetime>
  </property>
</Properties>
</file>