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icrosoft YaHei" w:hAnsi="Microsoft YaHei"/>
          <w:b/>
          <w:color w:val="16345E"/>
          <w:sz w:val="52"/>
        </w:rPr>
        <w:t>Attention 融合算子</w:t>
        <w:br/>
        <w:t>Ascend 性能优化报告</w:t>
      </w:r>
    </w:p>
    <w:p>
      <w:pPr>
        <w:jc w:val="center"/>
      </w:pPr>
      <w:r>
        <w:rPr>
          <w:rFonts w:ascii="Microsoft YaHei" w:hAnsi="Microsoft YaHei"/>
          <w:color w:val="E6003C"/>
          <w:sz w:val="32"/>
        </w:rPr>
        <w:t>30 分钟技术授课讲稿</w:t>
      </w:r>
    </w:p>
    <w:p>
      <w:pPr>
        <w:spacing w:before="480"/>
        <w:jc w:val="center"/>
      </w:pPr>
      <w:r>
        <w:rPr>
          <w:rFonts w:ascii="Microsoft YaHei" w:hAnsi="Microsoft YaHei"/>
          <w:color w:val="667085"/>
          <w:sz w:val="21"/>
        </w:rPr>
        <w:t>配套文件：attention融合算子优化报告_30分钟授课版_24页.pptx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使用方式：按 PPT 页码讲解。每页的“这一页要让听众理解”是主结论，正文是建议口播，提示项用于控制节奏和回答追问。内容均来自项目 docs/attention融合算子优化.md，数字和条件保持原文口径。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/>
          <w:color w:val="000000"/>
        </w:rPr>
        <w:t>授课节奏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vAlign w:val="center"/>
            <w:shd w:fill="16345E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440"/>
            <w:vAlign w:val="center"/>
            <w:shd w:fill="16345E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覆盖页码</w:t>
            </w:r>
          </w:p>
        </w:tc>
        <w:tc>
          <w:tcPr>
            <w:tcW w:type="dxa" w:w="1584"/>
            <w:vAlign w:val="center"/>
            <w:shd w:fill="16345E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建议时间</w:t>
            </w:r>
          </w:p>
        </w:tc>
        <w:tc>
          <w:tcPr>
            <w:tcW w:type="dxa" w:w="4320"/>
            <w:vAlign w:val="center"/>
            <w:shd w:fill="16345E"/>
          </w:tcPr>
          <w:p>
            <w:pPr>
              <w:spacing w:after="0"/>
            </w:pPr>
            <w:r/>
            <w:r>
              <w:rPr>
                <w:rFonts w:ascii="Microsoft YaHei" w:hAnsi="Microsoft YaHei"/>
                <w:b/>
                <w:color w:val="FFFFFF"/>
                <w:sz w:val="19"/>
              </w:rPr>
              <w:t>讲解重点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背景与基线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1–8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约 8 分钟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算子语义、硬件映射、原始伪代码、指令账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第一轮：数据流重构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9–14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约 10 分钟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索引外提、连续 bias、compact NZ、第一轮收益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第二轮：流水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15–18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约 6 分钟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2/3-stage 分派、PipeTimeline、单核组数据</w:t>
            </w:r>
          </w:p>
        </w:tc>
      </w:tr>
      <w:t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第三轮与最终状态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19–21</w:t>
            </w:r>
          </w:p>
        </w:tc>
        <w:tc>
          <w:tcPr>
            <w:tcW w:type="dxa" w:w="158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约 4 分钟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latency hint、累计收益、shape 归因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方法复用与收束</w:t>
            </w:r>
          </w:p>
        </w:tc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22–24</w:t>
            </w:r>
          </w:p>
        </w:tc>
        <w:tc>
          <w:tcPr>
            <w:tcW w:type="dxa" w:w="1584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约 2 分钟</w:t>
            </w:r>
          </w:p>
        </w:tc>
        <w:tc>
          <w:tcPr>
            <w:tcW w:type="dxa" w:w="4320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Microsoft YaHei" w:hAnsi="Microsoft YaHei"/>
                <w:b w:val="0"/>
                <w:color w:val="202936"/>
                <w:sz w:val="19"/>
              </w:rPr>
              <w:t>诊断速查表、四个动作、现场问答</w:t>
            </w:r>
          </w:p>
        </w:tc>
      </w:tr>
    </w:tbl>
    <w:p>
      <w:pPr>
        <w:spacing w:after="40"/>
      </w:pP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总建议时长约 28 分钟，预留 2 分钟提问。若听众更偏工程实现，可在第 10、12、16、19 页多讲代码；若更偏性能分析，可在第 8、15、18、20、21 页多讲数据。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01  封面：Attention 融合算子 Ascend 性能优化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建议时间：0.5 分钟    这一页要让听众理解：</w:t>
      </w:r>
      <w:r>
        <w:rPr>
          <w:rFonts w:ascii="Microsoft YaHei" w:hAnsi="Microsoft YaHei"/>
          <w:sz w:val="21"/>
        </w:rPr>
        <w:t>明确对象与主线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今天讲的是 DeepSeek-OCR 视觉编码器中的 attn_rel_h_rel_w。它在标准 FlashAttention 形式上增加了 REL_H 和 REL_W 二维查表偏置，因此既有 Cube GEMM，也有 Vector 查表和在线 softmax。整场围绕三步展开：先消除数据流冗余，再填平 Cube/Vector 的交接空档，最后校准调度器对 softmax 的成本估计。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先报算子名和三个 shape：S=196、1600、4096。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不要在封面停留太久，直接进入结果和问题。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02  三轮优化累计加速最高 ×8.75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先建立结果参照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先看结果：S=196 从 33.2 us 降到 12.1 us，S=1600 从 469.2 us 降到 89.5 us，S=4096 从 2514.7 us 降到 287.5 us。S=4096 的累计加速是 ×8.75。后面每一轮都会回到这张表，说明这部分收益来自哪一个结构变化。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强调“累计”是三轮 A/B 逐步叠加。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提醒 ratio 和 TaskDuration 要结合看。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03  二维相对位置偏置 Attention 的计算式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理解额外的 bias 工作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标准 score 是 QKᵀ/sqrt(D)。本算子还要根据 key 的二维坐标取 REL_H 和 REL_W，再进入 online softmax。j//side 和 j%side 决定了后面是规则地址还是不规则地址。硬件上，QKᵀ 和 PV 在 AIC Cube，scale、bias、softmax、rescale 在两个 AIV Vector。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指出这是一个混合核，优化重点是两条管线的连接。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04  测试环境、输入输出与 shape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统一测试口径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设备是 Ascend950DT_9592（V120），36 AIC、72 AIV，CANN 9.1.0，输入 BF16、FP32 累加、概率 BF16。三组 case 的 side 是 14、40、64，因此 S=side² 是 196、1600、4096。block_N 为 128 时，key 块数正好是 2、13、32，这个数字会决定 compact NZ 和流水深度是否启用。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先讲条件，再讲数据，避免后面把不同 shape 的结果混在一起。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05  片上数据流与 C/V 交接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看懂数据在哪里流动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Q 在 task 生命周期内进入 L1 并常驻，K/V 按 key block 流式搬入。QK Cube 的结果从 L0C 交给两路 AIV，AIV 完成 bias 和 online softmax，概率块以 NZ 形式留在片上，再交给 PV Cube。完整 P 矩阵不落 GM。三个后续改动分别对应 bias 指令、P 的 ND→NZ 中转和跨块交接。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可以用手指沿着 Q、K/V、score、P、output 走一遍。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06  原始实现伪代码：key 循环全串行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定位 T.serial 的结构问题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原始实现把每个 key block 依次做完 K/V 搬入、QK、bias+softmax、PV、rescale。T.serial 让 Cube 和 Vector 只能排队工作。更严重的是，bias 索引和概率布局转换也被塞在这个串行链路里，所以数据流冗余和交接空档会叠加到端到端时延。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说明代码是结构示意，不是可独立执行的完整 kernel。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标出后面三轮优化的落点。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07  初始 Profile：Vector 忙，但端到端时延仍高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不要只看 vec_ratio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S=4096 的 vec_ratio 是 0.878，但 TaskDuration 仍为 2514.7 us。生成代码按每 key 块、每 AIV 统计，bias 2438 条、softmax 1344 条、ND→NZ 128 条、rescale 384 条，总计 4294 条。接下来要问：这些指令中有多少是重复的，多少是布局中转，多少是等待？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强调“Vector 忙”不代表所有工作都有效。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08  生成代码确认三处可消除的开销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把症状对应到手段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第一处是 key-only 索引在 64 行 query 循环内重复计算。第二处是 side=64 明明有规则地址，却仍走 gather。第三处是概率先按 ND 写出，再由 dual_copy 做 ND→NZ。第四处是 T.serial 带来的串行交接。接下来的第一轮先解决前三处数据流问题，第二轮再解决跨块交接。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这一页是诊断桥接页，给后面每个优化建立理由。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09  key-only 索引从 64 行循环内提出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理解循环外提的依赖判据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修改前，vdiv、vmul、vsub 等索引指令在 64 行循环内、两个向量上反复计算。修改后按 key 侧依赖把索引提到向量层，行循环内只保留每行的 gather。每 key 块每 AIV 的索引指令从 1152 条降到 18 条。这里的关键不是“少写几行代码”，而是按数据依赖重新安排循环层级。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指出 vdiv 是 int16 微码除法，单条代价高。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说明 query 相关的加载仍需留在行内。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10  side=64 时把 gather 改为广播与连续读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理解编译期连续路径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side=64 时，一个 64-lane 向量正好覆盖 bias 表一整行：REL_H 对所有 lane 是同一个行号，REL_W 是 0 到 63 的连续列号。因此用 BRC_B16 广播读和 UNPK_B16 连续读即可。side=40 会跨行回卷，继续使用 vdiv、vmul、vsub、vgather2 和尾块掩码。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这是地址模式优化，适用条件是 side 与向量宽度有整除关系。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11  softmax 直接写出 PV 所需的 NZ 布局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理解生产者直写消费者布局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PV Cube 需要 NZ，因此 softmax 的生产者可以直接生成 NZ。even 和 odd 概率分别通过 vcvt 的 part=0/1 转成 BF16，再用 vor 合并，最后用 vsstb 按 NZ stride 散写。这样 ND→NZ 的 128 条指令和 16 KB staging 都被消掉，UB 到 L1 变成连续搬运。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按 vcvt、vor、vsstb 的顺序解释。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强调概率块只在片上存活，布局可以被寄存器级操作表达。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12  compact 路径有双遍 softmax 成本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讲清楚优化取舍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compact softmax 不是无代价的。它要先做 row-max，再做 exp、写盘和求和，因此 key 块少时双遍成本可能摊不回来。文档采用 key_block_count≥13 的分派：S=196 保留 ordinary 单遍路径，S=1600 和 S=4096 使用 compact NZ。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让听众看到阈值是来自 shape 和实测，而不是拍脑袋。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13  数据流重构贡献了累计收益的大头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看第一轮 A/B 结果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三项改动叠加后，S=196 是 14.1 us，S=1600 是 103.3 us，S=4096 是 346.7 us，分别达到 ×2.35、×4.54、×7.25。S=4096 的 vec_ratio 反而从 0.878 降到 0.812，这说明高价冗余指令减少后，关键路径转到了 Cube/Vector 的交接空档。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把“ratio 下降”解释为关键路径迁移，而不是优化失败。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14  第一轮后各管线仍存在可吸收的交接空档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引出第二轮流水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第一轮的 S=4096 2-stage 版本里，AIV vec 只占 70.2%，AIC mte2 占 49.6%，各管线没有同时被充分利用。因为三个 shape 的 key 块数不同，流水深度也不能统一设置。块数只有 2 时，深流水成本难以摊平；块数达到 13 和 32 时，才有空间让跨块工作重叠起来。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这里要把“块数”与“可重叠的工作量”联系起来。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15  流水深度由 key 块数在编译期分派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理解 2/3-stage 的代码改动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代码用 _key_block_count(seq_len) 决定流水深度。S=196 从 1-stage 补到 2-stage；S=1600 和 S=4096 从 2-stage 加深到 3-stage。循环体本身不变，变化的是缓冲和调度方式。结果是 14.1→13.3 us、103.3→89.5 us、346.7→287.9 us。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指出阈值 13 同时被 compact NZ 和 3-stage 使用，但两者要分别验证。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16  3-stage 让 Cube 与两路 AIV 深度交错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读懂 PipeTimeline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两张时间线来自同机同批，代码相同，只有 stage 数不同。2-stage 的 Cube 批次更稀疏，AIV 等待区间更长。3-stage 让 Cube、AIV0、AIV1 深度交错，TaskDuration 从 346.7 us 降到 287.9 us，提升 17.0%。收益来自跨块重叠，而不是单条指令变快。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可以先让听众看左图空白，再看右图交错。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17  3-stage 后关键 AIV Vector 基本连续工作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用单核组数据证明重叠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最终单核组墙钟约 289.8 us。AIV0 和 AIV1 的 Vector 分别忙 278.0 us 和 277.7 us，占墙钟 95.9% 和 95.8%。AIC 的 CUBE、MTE1、MTE2、FIXP 各自也有明显占空并且相互重叠。这个数据说明 key 块之间的交接空档已经基本被流水藏住。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解释各管线占墙钟相加超过 100% 是真实重叠。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18  latency hint 修正 ordinary softmax 的调度估计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理解第三轮只改调度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普通 softmax 约有 1344 条 SIMD ops，调度器对这个 scope 的代价估计偏低。根据参考实现的约 1.41 ops/cycle，给出约 948 cycles 的候选估计，放入 T.SimdVF(latency=948)。指令体不变，改变的是调度器产生的 stage 结构。4 次独立复测中位数从 13.3 us 降到 12.1 us，提升 9.0%。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强调 948 是候选估计，不是实测等待时延。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19  逐轮时延演进与累计加速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把收益串成一条线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这张图把三组 case 归一化到原始实现。最终累计加速是 S=196 ×2.74、S=1600 ×5.24、S=4096 ×8.75。第一轮带来主要下降，第二轮继续填补 C/V 空档，第三轮主要改善 S=196。不要把三个 shape 当成同一种瓶颈。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如果时间紧，只讲 S=4096 的曲线和表格。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20  不同 shape 的剩余瓶颈不同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建议时间：1.5 分钟    这一页要让听众理解：</w:t>
      </w:r>
      <w:r>
        <w:rPr>
          <w:rFonts w:ascii="Microsoft YaHei" w:hAnsi="Microsoft YaHei"/>
          <w:sz w:val="21"/>
        </w:rPr>
        <w:t>从优化转向归因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S=4096 的 AIV vec_ratio 达到 96.6%，关键核空隙只有 2.6%，时延由 Vector 指令吞吐主导。S=1600 的 AIC mte2 为 63.9%，但带宽只有 3.6%，说明是 128B strided burst 结构问题。S=196 只有 2 个 key 块，固定同步和核间负载不均更重要，最快核 7.5 us、最慢核 13.4 us。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强调高 mte2 不等于带宽饱和。</w:t>
      </w:r>
    </w:p>
    <w:p>
      <w:r>
        <w:br w:type="page"/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21  症状、证据与判断的速查表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形成可复用的排查路径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换一个 Cube/Vector 混合算子时，先看关键核 trace 的空隙，再看时延与 vec_ratio 是否同步变化，再看 AIV 四管之和和核间 min/avg/max。搬运占比要和带宽、平均传输粒度一起看。按这个顺序，可以先判断瓶颈属于指令、交接、搬运结构还是并行度。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提醒 72 核均值与关键核 trace 要保持统计口径一致。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22  编译器注解与代理指标都要经过上板验证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建立工程验证纪律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文档记录了几个版本相关观察：multi_buffer_eligible 可能被调度器忽略，外层裸 num_stages 可能生成代码不变，嵌套 buffer version 可能膨胀。类似地，vmadd 更少、vselr 更连续、4-stage 更深，都不能直接推出时延下降。一次只改一个假设，保存生成代码、Profile 和同条件 A/B。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把这些作为工程经验，不讲成普遍语言规范。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23  这次优化过程可以复用的四个动作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建议时间：1 分钟    这一页要让听众理解：</w:t>
      </w:r>
      <w:r>
        <w:rPr>
          <w:rFonts w:ascii="Microsoft YaHei" w:hAnsi="Microsoft YaHei"/>
          <w:sz w:val="21"/>
        </w:rPr>
        <w:t>完成方法收束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第一，按依赖外提 key-only 和 query-only 计算。第二，由消费者的 NZ 要求倒推生产者写出布局。第三，用 key 块数决定 2/3-stage，再用 PipeTimeline 验证交错。第四，对经 Profile 确认的瓶颈 scope 做可追溯的 latency hint。核心顺序是：数据流冗余、C/V 流水空档、调度成本模型。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最后再重复一次三轮顺序，帮助听众记忆。</w:t>
      </w:r>
    </w:p>
    <w:p>
      <w:pPr>
        <w:pStyle w:val="Heading2"/>
        <w:spacing w:before="120" w:after="80"/>
      </w:pPr>
      <w:r>
        <w:rPr>
          <w:rFonts w:ascii="Microsoft YaHei" w:hAnsi="Microsoft YaHei"/>
          <w:color w:val="000000"/>
        </w:rPr>
        <w:t>24  Thank you 模板结束页</w:t>
      </w:r>
    </w:p>
    <w:p>
      <w:pPr>
        <w:spacing w:after="80"/>
      </w:pPr>
      <w:r>
        <w:rPr>
          <w:rFonts w:ascii="Microsoft YaHei" w:hAnsi="Microsoft YaHei"/>
          <w:b/>
          <w:color w:val="E6003C"/>
          <w:sz w:val="21"/>
        </w:rPr>
        <w:t>建议时间：2 分钟    这一页要让听众理解：</w:t>
      </w:r>
      <w:r>
        <w:rPr>
          <w:rFonts w:ascii="Microsoft YaHei" w:hAnsi="Microsoft YaHei"/>
          <w:sz w:val="21"/>
        </w:rPr>
        <w:t>进入讨论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结束页不再新增技术内容，直接进入问答。建议先请听众选择一个层次提问：地址模式与 bias 查表、compact NZ 的双遍取舍、Pipeline stage 阈值、latency hint 的证据来源。若无人提问，可以回到第 20 页，讨论三个 shape 为什么会有不同的最终瓶颈。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b/>
          <w:sz w:val="21"/>
        </w:rPr>
        <w:t>讲解提示：</w:t>
      </w:r>
      <w:r>
        <w:rPr>
          <w:rFonts w:ascii="Microsoft YaHei" w:hAnsi="Microsoft YaHei"/>
          <w:sz w:val="21"/>
        </w:rPr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预留 2 分钟交流。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/>
          <w:color w:val="000000"/>
        </w:rPr>
        <w:t>授课前检查清单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确认现场能展示 2-stage 和 3-stage 两张时间线。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第 9、10、11、15、18 页的代码字号适合投影，讲解时不要停留在逐字阅读。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准备回答：为什么 side=64 可以连续读、为什么 compact NZ 要设置 13 的阈值、为什么 S=1600 的 mte2 高但带宽低。</w:t>
      </w:r>
    </w:p>
    <w:p>
      <w:pPr>
        <w:pStyle w:val="ListBullet"/>
        <w:spacing w:after="40"/>
        <w:ind w:left="317"/>
      </w:pPr>
      <w:r>
        <w:rPr>
          <w:rFonts w:ascii="Microsoft YaHei" w:hAnsi="Microsoft YaHei"/>
          <w:sz w:val="21"/>
        </w:rPr>
        <w:t>所有性能数字都按同一设备、同一批次和文档中的统计口径引用。</w:t>
      </w:r>
    </w:p>
    <w:p>
      <w:pPr>
        <w:pStyle w:val="BodyText"/>
        <w:spacing w:after="100" w:line="259" w:lineRule="auto"/>
      </w:pPr>
      <w:r>
        <w:rPr>
          <w:rFonts w:ascii="Microsoft YaHei" w:hAnsi="Microsoft YaHei"/>
          <w:sz w:val="21"/>
        </w:rPr>
        <w:t>资料来源：D:/Work/dp-operators2608/attention融合算子ppt/docs/attention融合算子优化.md；配套图：2_stages.png、3_stages.png、attention_latency_evolution.png。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667085"/>
        <w:sz w:val="16"/>
      </w:rPr>
      <w:t>Attention 融合算子 Ascend 性能优化报告 · 讲稿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