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BDE47">
      <w:pPr>
        <w:spacing w:before="2400"/>
        <w:jc w:val="center"/>
        <w:rPr>
          <w:rFonts w:ascii="Times New Roman" w:hAnsi="Times New Roman" w:eastAsia="宋体"/>
        </w:rPr>
      </w:pPr>
      <w:r>
        <w:rPr>
          <w:rFonts w:ascii="Times New Roman" w:hAnsi="Times New Roman" w:eastAsia="宋体"/>
          <w:b/>
          <w:color w:val="1F4E79"/>
          <w:sz w:val="48"/>
        </w:rPr>
        <w:t>多模态化学数据标准规范</w:t>
      </w:r>
    </w:p>
    <w:p w14:paraId="7C85C4A1">
      <w:pPr>
        <w:jc w:val="center"/>
        <w:rPr>
          <w:rFonts w:ascii="Times New Roman" w:hAnsi="Times New Roman" w:eastAsia="宋体"/>
        </w:rPr>
      </w:pPr>
      <w:r>
        <w:rPr>
          <w:rFonts w:ascii="Times New Roman" w:hAnsi="Times New Roman" w:eastAsia="宋体"/>
          <w:b w:val="0"/>
          <w:color w:val="5A5A5A"/>
          <w:sz w:val="28"/>
        </w:rPr>
        <w:t>分子数据 · 化学反应数据 · 谱图数据</w:t>
      </w:r>
    </w:p>
    <w:p w14:paraId="0E1E6299">
      <w:pPr>
        <w:spacing w:before="480"/>
        <w:jc w:val="both"/>
        <w:rPr>
          <w:rFonts w:ascii="Times New Roman" w:hAnsi="Times New Roman" w:eastAsia="宋体"/>
        </w:rPr>
      </w:pPr>
      <w:r>
        <w:rPr>
          <w:rFonts w:ascii="Times New Roman" w:hAnsi="Times New Roman" w:eastAsia="宋体"/>
          <w:b/>
          <w:color w:val="1F4E79"/>
          <w:sz w:val="24"/>
        </w:rPr>
        <w:t>数据库总规模：538,046,852 条有效多模态化学数据</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EBD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4B5FAE95">
            <w:pPr>
              <w:spacing w:after="0" w:line="276" w:lineRule="auto"/>
              <w:jc w:val="both"/>
              <w:rPr>
                <w:rFonts w:ascii="Times New Roman" w:hAnsi="Times New Roman" w:eastAsia="宋体"/>
              </w:rPr>
            </w:pPr>
            <w:r>
              <w:rPr>
                <w:rFonts w:ascii="Times New Roman" w:hAnsi="Times New Roman" w:eastAsia="宋体"/>
                <w:b/>
                <w:sz w:val="19"/>
              </w:rPr>
              <w:t>数据类型</w:t>
            </w:r>
          </w:p>
        </w:tc>
        <w:tc>
          <w:tcPr>
            <w:tcW w:w="3135" w:type="dxa"/>
            <w:shd w:val="clear" w:color="auto" w:fill="D9EAF7"/>
            <w:vAlign w:val="center"/>
          </w:tcPr>
          <w:p w14:paraId="2B0D9A84">
            <w:pPr>
              <w:spacing w:after="0" w:line="276" w:lineRule="auto"/>
              <w:jc w:val="both"/>
              <w:rPr>
                <w:rFonts w:ascii="Times New Roman" w:hAnsi="Times New Roman" w:eastAsia="宋体"/>
              </w:rPr>
            </w:pPr>
            <w:r>
              <w:rPr>
                <w:rFonts w:ascii="Times New Roman" w:hAnsi="Times New Roman" w:eastAsia="宋体"/>
                <w:b/>
                <w:sz w:val="19"/>
              </w:rPr>
              <w:t>数据规模</w:t>
            </w:r>
          </w:p>
        </w:tc>
        <w:tc>
          <w:tcPr>
            <w:tcW w:w="3135" w:type="dxa"/>
            <w:shd w:val="clear" w:color="auto" w:fill="D9EAF7"/>
            <w:vAlign w:val="center"/>
          </w:tcPr>
          <w:p w14:paraId="204AE164">
            <w:pPr>
              <w:spacing w:after="0" w:line="276" w:lineRule="auto"/>
              <w:jc w:val="both"/>
              <w:rPr>
                <w:rFonts w:ascii="Times New Roman" w:hAnsi="Times New Roman" w:eastAsia="宋体"/>
              </w:rPr>
            </w:pPr>
            <w:r>
              <w:rPr>
                <w:rFonts w:ascii="Times New Roman" w:hAnsi="Times New Roman" w:eastAsia="宋体"/>
                <w:b/>
                <w:sz w:val="19"/>
              </w:rPr>
              <w:t>主要内容</w:t>
            </w:r>
          </w:p>
        </w:tc>
      </w:tr>
      <w:tr w14:paraId="0130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01ECC62">
            <w:pPr>
              <w:spacing w:after="0" w:line="276" w:lineRule="auto"/>
              <w:jc w:val="both"/>
              <w:rPr>
                <w:rFonts w:ascii="Times New Roman" w:hAnsi="Times New Roman" w:eastAsia="宋体"/>
              </w:rPr>
            </w:pPr>
            <w:r>
              <w:rPr>
                <w:rFonts w:ascii="Times New Roman" w:hAnsi="Times New Roman" w:eastAsia="宋体"/>
                <w:b w:val="0"/>
                <w:sz w:val="19"/>
              </w:rPr>
              <w:t>分子数据</w:t>
            </w:r>
          </w:p>
        </w:tc>
        <w:tc>
          <w:tcPr>
            <w:tcW w:w="3135" w:type="dxa"/>
            <w:vAlign w:val="center"/>
          </w:tcPr>
          <w:p w14:paraId="3CD08BD5">
            <w:pPr>
              <w:spacing w:after="0" w:line="276" w:lineRule="auto"/>
              <w:jc w:val="both"/>
              <w:rPr>
                <w:rFonts w:ascii="Times New Roman" w:hAnsi="Times New Roman" w:eastAsia="宋体"/>
              </w:rPr>
            </w:pPr>
            <w:r>
              <w:rPr>
                <w:rFonts w:ascii="Times New Roman" w:hAnsi="Times New Roman" w:eastAsia="宋体"/>
                <w:b w:val="0"/>
                <w:sz w:val="19"/>
              </w:rPr>
              <w:t>400,000,000 条</w:t>
            </w:r>
          </w:p>
        </w:tc>
        <w:tc>
          <w:tcPr>
            <w:tcW w:w="3135" w:type="dxa"/>
            <w:vAlign w:val="center"/>
          </w:tcPr>
          <w:p w14:paraId="7A59F91C">
            <w:pPr>
              <w:spacing w:after="0" w:line="276" w:lineRule="auto"/>
              <w:jc w:val="both"/>
              <w:rPr>
                <w:rFonts w:hint="default" w:ascii="Times New Roman" w:hAnsi="Times New Roman" w:eastAsia="宋体"/>
                <w:lang w:val="en-US" w:eastAsia="zh-CN"/>
              </w:rPr>
            </w:pPr>
            <w:r>
              <w:rPr>
                <w:rFonts w:ascii="Times New Roman" w:hAnsi="Times New Roman" w:eastAsia="宋体"/>
                <w:b w:val="0"/>
                <w:sz w:val="19"/>
              </w:rPr>
              <w:t>SMILES、分子量、LogP、TPSA、氢键供体数量</w:t>
            </w:r>
            <w:r>
              <w:rPr>
                <w:rFonts w:hint="eastAsia" w:ascii="Times New Roman" w:hAnsi="Times New Roman" w:eastAsia="宋体"/>
                <w:b w:val="0"/>
                <w:sz w:val="19"/>
                <w:lang w:eastAsia="zh-CN"/>
              </w:rPr>
              <w:t>，</w:t>
            </w:r>
            <w:r>
              <w:rPr>
                <w:rFonts w:hint="eastAsia" w:ascii="Times New Roman" w:hAnsi="Times New Roman" w:eastAsia="宋体"/>
                <w:b w:val="0"/>
                <w:sz w:val="19"/>
                <w:lang w:val="en-US" w:eastAsia="zh-CN"/>
              </w:rPr>
              <w:t>氢键受体数量</w:t>
            </w:r>
          </w:p>
        </w:tc>
      </w:tr>
      <w:tr w14:paraId="10C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AE5D735">
            <w:pPr>
              <w:spacing w:after="0" w:line="276" w:lineRule="auto"/>
              <w:jc w:val="both"/>
              <w:rPr>
                <w:rFonts w:ascii="Times New Roman" w:hAnsi="Times New Roman" w:eastAsia="宋体"/>
              </w:rPr>
            </w:pPr>
            <w:r>
              <w:rPr>
                <w:rFonts w:ascii="Times New Roman" w:hAnsi="Times New Roman" w:eastAsia="宋体"/>
                <w:b w:val="0"/>
                <w:sz w:val="19"/>
              </w:rPr>
              <w:t>化学反应数据</w:t>
            </w:r>
          </w:p>
        </w:tc>
        <w:tc>
          <w:tcPr>
            <w:tcW w:w="3135" w:type="dxa"/>
            <w:vAlign w:val="center"/>
          </w:tcPr>
          <w:p w14:paraId="198F3032">
            <w:pPr>
              <w:spacing w:after="0" w:line="276" w:lineRule="auto"/>
              <w:jc w:val="both"/>
              <w:rPr>
                <w:rFonts w:ascii="Times New Roman" w:hAnsi="Times New Roman" w:eastAsia="宋体"/>
              </w:rPr>
            </w:pPr>
            <w:r>
              <w:rPr>
                <w:rFonts w:ascii="Times New Roman" w:hAnsi="Times New Roman" w:eastAsia="宋体"/>
                <w:b w:val="0"/>
                <w:sz w:val="19"/>
              </w:rPr>
              <w:t>32,281,977 条</w:t>
            </w:r>
          </w:p>
        </w:tc>
        <w:tc>
          <w:tcPr>
            <w:tcW w:w="3135" w:type="dxa"/>
            <w:vAlign w:val="center"/>
          </w:tcPr>
          <w:p w14:paraId="6A456EF2">
            <w:pPr>
              <w:spacing w:after="0" w:line="276" w:lineRule="auto"/>
              <w:jc w:val="both"/>
              <w:rPr>
                <w:rFonts w:ascii="Times New Roman" w:hAnsi="Times New Roman" w:eastAsia="宋体"/>
              </w:rPr>
            </w:pPr>
            <w:r>
              <w:rPr>
                <w:rFonts w:ascii="Times New Roman" w:hAnsi="Times New Roman" w:eastAsia="宋体"/>
                <w:b w:val="0"/>
                <w:sz w:val="19"/>
              </w:rPr>
              <w:t>反应物、试剂、产物、反应条件、三维结构 token、产率</w:t>
            </w:r>
          </w:p>
        </w:tc>
      </w:tr>
      <w:tr w14:paraId="4CC7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5EBBCB9">
            <w:pPr>
              <w:spacing w:after="0" w:line="276" w:lineRule="auto"/>
              <w:jc w:val="both"/>
              <w:rPr>
                <w:rFonts w:ascii="Times New Roman" w:hAnsi="Times New Roman" w:eastAsia="宋体"/>
              </w:rPr>
            </w:pPr>
            <w:r>
              <w:rPr>
                <w:rFonts w:ascii="Times New Roman" w:hAnsi="Times New Roman" w:eastAsia="宋体"/>
                <w:b w:val="0"/>
                <w:sz w:val="19"/>
              </w:rPr>
              <w:t>谱图数据</w:t>
            </w:r>
          </w:p>
        </w:tc>
        <w:tc>
          <w:tcPr>
            <w:tcW w:w="3135" w:type="dxa"/>
            <w:vAlign w:val="center"/>
          </w:tcPr>
          <w:p w14:paraId="26DFB97D">
            <w:pPr>
              <w:spacing w:after="0" w:line="276" w:lineRule="auto"/>
              <w:jc w:val="both"/>
              <w:rPr>
                <w:rFonts w:ascii="Times New Roman" w:hAnsi="Times New Roman" w:eastAsia="宋体"/>
              </w:rPr>
            </w:pPr>
            <w:r>
              <w:rPr>
                <w:rFonts w:ascii="Times New Roman" w:hAnsi="Times New Roman" w:eastAsia="宋体"/>
                <w:b w:val="0"/>
                <w:sz w:val="19"/>
              </w:rPr>
              <w:t>105,764,875 条</w:t>
            </w:r>
          </w:p>
        </w:tc>
        <w:tc>
          <w:tcPr>
            <w:tcW w:w="3135" w:type="dxa"/>
            <w:vAlign w:val="center"/>
          </w:tcPr>
          <w:p w14:paraId="13B1022F">
            <w:pPr>
              <w:spacing w:after="0" w:line="276" w:lineRule="auto"/>
              <w:jc w:val="both"/>
              <w:rPr>
                <w:rFonts w:ascii="Times New Roman" w:hAnsi="Times New Roman" w:eastAsia="宋体"/>
              </w:rPr>
            </w:pPr>
            <w:r>
              <w:rPr>
                <w:rFonts w:ascii="Times New Roman" w:hAnsi="Times New Roman" w:eastAsia="宋体"/>
                <w:b w:val="0"/>
                <w:sz w:val="19"/>
              </w:rPr>
              <w:t>SMILES、InChIKey、1H NMR、13C NMR、等价原子类别</w:t>
            </w:r>
          </w:p>
        </w:tc>
      </w:tr>
      <w:tr w14:paraId="25F8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F2F8"/>
            <w:vAlign w:val="center"/>
          </w:tcPr>
          <w:p w14:paraId="774F43D3">
            <w:pPr>
              <w:spacing w:after="0" w:line="276" w:lineRule="auto"/>
              <w:jc w:val="both"/>
              <w:rPr>
                <w:rFonts w:ascii="Times New Roman" w:hAnsi="Times New Roman" w:eastAsia="宋体"/>
              </w:rPr>
            </w:pPr>
            <w:r>
              <w:rPr>
                <w:rFonts w:ascii="Times New Roman" w:hAnsi="Times New Roman" w:eastAsia="宋体"/>
                <w:b/>
                <w:sz w:val="19"/>
              </w:rPr>
              <w:t>合计</w:t>
            </w:r>
          </w:p>
        </w:tc>
        <w:tc>
          <w:tcPr>
            <w:tcW w:w="3135" w:type="dxa"/>
            <w:shd w:val="clear" w:color="auto" w:fill="EAF2F8"/>
            <w:vAlign w:val="center"/>
          </w:tcPr>
          <w:p w14:paraId="03CAB74E">
            <w:pPr>
              <w:spacing w:after="0" w:line="276" w:lineRule="auto"/>
              <w:jc w:val="both"/>
              <w:rPr>
                <w:rFonts w:ascii="Times New Roman" w:hAnsi="Times New Roman" w:eastAsia="宋体"/>
              </w:rPr>
            </w:pPr>
            <w:r>
              <w:rPr>
                <w:rFonts w:ascii="Times New Roman" w:hAnsi="Times New Roman" w:eastAsia="宋体"/>
                <w:b/>
                <w:sz w:val="19"/>
              </w:rPr>
              <w:t>538,046,852 条</w:t>
            </w:r>
          </w:p>
        </w:tc>
        <w:tc>
          <w:tcPr>
            <w:tcW w:w="3135" w:type="dxa"/>
            <w:shd w:val="clear" w:color="auto" w:fill="EAF2F8"/>
            <w:vAlign w:val="center"/>
          </w:tcPr>
          <w:p w14:paraId="17A7D68E">
            <w:pPr>
              <w:spacing w:after="0" w:line="276" w:lineRule="auto"/>
              <w:jc w:val="both"/>
              <w:rPr>
                <w:rFonts w:ascii="Times New Roman" w:hAnsi="Times New Roman" w:eastAsia="宋体"/>
              </w:rPr>
            </w:pPr>
            <w:r>
              <w:rPr>
                <w:rFonts w:ascii="Times New Roman" w:hAnsi="Times New Roman" w:eastAsia="宋体"/>
                <w:b/>
                <w:sz w:val="19"/>
              </w:rPr>
              <w:t>覆盖分子结构、反应过程与谱图信息</w:t>
            </w:r>
          </w:p>
        </w:tc>
      </w:tr>
    </w:tbl>
    <w:p w14:paraId="126E99A7">
      <w:pPr>
        <w:spacing w:after="120" w:line="324" w:lineRule="auto"/>
        <w:jc w:val="both"/>
        <w:rPr>
          <w:rFonts w:ascii="Times New Roman" w:hAnsi="Times New Roman" w:eastAsia="宋体"/>
          <w:b w:val="0"/>
          <w:sz w:val="21"/>
        </w:rPr>
      </w:pPr>
    </w:p>
    <w:p w14:paraId="28BF2306">
      <w:pPr>
        <w:spacing w:after="120" w:line="324" w:lineRule="auto"/>
        <w:jc w:val="both"/>
        <w:rPr>
          <w:rFonts w:ascii="Times New Roman" w:hAnsi="Times New Roman" w:eastAsia="宋体"/>
        </w:rPr>
      </w:pPr>
      <w:r>
        <w:rPr>
          <w:rFonts w:ascii="Times New Roman" w:hAnsi="Times New Roman" w:eastAsia="宋体"/>
          <w:b w:val="0"/>
          <w:sz w:val="21"/>
        </w:rPr>
        <w:t>本文件用于规范多模态化学数据库中分子数据、化学反应数据和谱图数据的字段定义、格式要求、模态关联、质量控制与标准符合度评价方法，可作为项目发布、平台说明、验收材料和数据管理制度的正式文本。</w:t>
      </w:r>
    </w:p>
    <w:p w14:paraId="507D84D9">
      <w:pPr>
        <w:jc w:val="both"/>
        <w:rPr>
          <w:rFonts w:ascii="Times New Roman" w:hAnsi="Times New Roman" w:eastAsia="宋体"/>
        </w:rPr>
      </w:pPr>
      <w:r>
        <w:rPr>
          <w:rFonts w:ascii="Times New Roman" w:hAnsi="Times New Roman" w:eastAsia="宋体"/>
        </w:rPr>
        <w:br w:type="page"/>
      </w:r>
    </w:p>
    <w:p w14:paraId="129E75BD">
      <w:pPr>
        <w:pStyle w:val="3"/>
        <w:spacing w:before="280" w:after="160"/>
        <w:jc w:val="both"/>
        <w:rPr>
          <w:rFonts w:ascii="Times New Roman" w:hAnsi="Times New Roman" w:eastAsia="宋体"/>
        </w:rPr>
      </w:pPr>
      <w:r>
        <w:rPr>
          <w:rFonts w:ascii="Times New Roman" w:hAnsi="Times New Roman" w:eastAsia="宋体"/>
          <w:b/>
          <w:color w:val="1F4E79"/>
          <w:sz w:val="32"/>
        </w:rPr>
        <w:t>一、标准制定背景</w:t>
      </w:r>
    </w:p>
    <w:p w14:paraId="1CDC45AA">
      <w:pPr>
        <w:spacing w:after="120" w:line="324" w:lineRule="auto"/>
        <w:ind w:firstLine="420"/>
        <w:jc w:val="both"/>
        <w:rPr>
          <w:rFonts w:ascii="Times New Roman" w:hAnsi="Times New Roman" w:eastAsia="宋体"/>
        </w:rPr>
      </w:pPr>
      <w:r>
        <w:rPr>
          <w:rFonts w:ascii="Times New Roman" w:hAnsi="Times New Roman" w:eastAsia="宋体"/>
          <w:b w:val="0"/>
          <w:sz w:val="21"/>
        </w:rPr>
        <w:t>为支撑分子性质预测、化学反应建模、谱图解析、分子表征学习、相似性检索、产物预测、反应条件预测、逆合成分析、产率预测以及多模态大模型训练等任务，本项目构建了覆盖分子结构、理化性质、化学反应、反应条件、产物结构、产率信息以及核磁共振谱图信息的多模态化学数据库。</w:t>
      </w:r>
    </w:p>
    <w:p w14:paraId="2B783FE3">
      <w:pPr>
        <w:spacing w:after="120" w:line="324" w:lineRule="auto"/>
        <w:ind w:firstLine="420"/>
        <w:jc w:val="both"/>
        <w:rPr>
          <w:rFonts w:ascii="Times New Roman" w:hAnsi="Times New Roman" w:eastAsia="宋体"/>
        </w:rPr>
      </w:pPr>
      <w:r>
        <w:rPr>
          <w:rFonts w:ascii="Times New Roman" w:hAnsi="Times New Roman" w:eastAsia="宋体"/>
          <w:b w:val="0"/>
          <w:sz w:val="21"/>
        </w:rPr>
        <w:t>该数据库面向化学与材料智能研发场景，统一整合了分子数据、化学反应数据和谱图数据三类核心数据资源，形成了结构化、标准化、可检索、可建模、可扩展的多模态数据体系。数据库中的不同模态数据以 SMILES、反应三维结构 token、反应 SMILES、InChIKey、核磁谱图序列等作为关键关联字段，实现分子结构、反应过程和谱图信息之间的统一组织与关联表达。</w:t>
      </w:r>
    </w:p>
    <w:p w14:paraId="61CEC94F">
      <w:pPr>
        <w:spacing w:after="120" w:line="324" w:lineRule="auto"/>
        <w:ind w:firstLine="420"/>
        <w:jc w:val="both"/>
        <w:rPr>
          <w:rFonts w:ascii="Times New Roman" w:hAnsi="Times New Roman" w:eastAsia="宋体"/>
        </w:rPr>
      </w:pPr>
      <w:r>
        <w:rPr>
          <w:rFonts w:ascii="Times New Roman" w:hAnsi="Times New Roman" w:eastAsia="宋体"/>
          <w:b w:val="0"/>
          <w:sz w:val="21"/>
        </w:rPr>
        <w:t>截至当前版本，数据库中分子数据共有 400,000,000 条，化学反应数据共有 32,281,977 条，谱图数据共有 105,764,875 条，三类数据合计共 538,046,852 条。所有数据均经过清洗、去重、字段规范化和有效性标记处理，可用于后续模型训练、数据检索、知识发现和智能体工具调用。</w:t>
      </w:r>
    </w:p>
    <w:p w14:paraId="17D213BD">
      <w:pPr>
        <w:pStyle w:val="3"/>
        <w:spacing w:before="280" w:after="160"/>
        <w:jc w:val="both"/>
        <w:rPr>
          <w:rFonts w:ascii="Times New Roman" w:hAnsi="Times New Roman" w:eastAsia="宋体"/>
        </w:rPr>
      </w:pPr>
      <w:r>
        <w:rPr>
          <w:rFonts w:ascii="Times New Roman" w:hAnsi="Times New Roman" w:eastAsia="宋体"/>
          <w:b/>
          <w:color w:val="1F4E79"/>
          <w:sz w:val="32"/>
        </w:rPr>
        <w:t>二、适用范围</w:t>
      </w:r>
    </w:p>
    <w:p w14:paraId="36B989D1">
      <w:pPr>
        <w:spacing w:after="120" w:line="324" w:lineRule="auto"/>
        <w:ind w:firstLine="420"/>
        <w:jc w:val="both"/>
        <w:rPr>
          <w:rFonts w:ascii="Times New Roman" w:hAnsi="Times New Roman" w:eastAsia="宋体"/>
        </w:rPr>
      </w:pPr>
      <w:r>
        <w:rPr>
          <w:rFonts w:ascii="Times New Roman" w:hAnsi="Times New Roman" w:eastAsia="宋体"/>
          <w:b w:val="0"/>
          <w:sz w:val="21"/>
        </w:rPr>
        <w:t>本标准适用于项目多模态化学数据库中分子数据、化学反应数据和谱图数据的存储、管理、清洗、校验、检索、共享和模型调用过程。</w:t>
      </w:r>
    </w:p>
    <w:p w14:paraId="43244DA5">
      <w:pPr>
        <w:spacing w:after="120" w:line="324" w:lineRule="auto"/>
        <w:ind w:firstLine="420"/>
        <w:jc w:val="both"/>
        <w:rPr>
          <w:rFonts w:ascii="Times New Roman" w:hAnsi="Times New Roman" w:eastAsia="宋体"/>
        </w:rPr>
      </w:pPr>
      <w:r>
        <w:rPr>
          <w:rFonts w:ascii="Times New Roman" w:hAnsi="Times New Roman" w:eastAsia="宋体"/>
          <w:b w:val="0"/>
          <w:sz w:val="21"/>
        </w:rPr>
        <w:t>第一类为分子数据，主要描述单个化合物的结构与理化性质，适用于分子表征学习、性质预测、相似性检索、分子生成、虚拟筛选和分子空间分析等任务。</w:t>
      </w:r>
    </w:p>
    <w:p w14:paraId="2F30F775">
      <w:pPr>
        <w:spacing w:after="120" w:line="324" w:lineRule="auto"/>
        <w:ind w:firstLine="420"/>
        <w:jc w:val="both"/>
        <w:rPr>
          <w:rFonts w:ascii="Times New Roman" w:hAnsi="Times New Roman" w:eastAsia="宋体"/>
        </w:rPr>
      </w:pPr>
      <w:r>
        <w:rPr>
          <w:rFonts w:ascii="Times New Roman" w:hAnsi="Times New Roman" w:eastAsia="宋体"/>
          <w:b w:val="0"/>
          <w:sz w:val="21"/>
        </w:rPr>
        <w:t>第二类为化学反应数据，主要描述反应物、试剂、反应条件、产物结构、数据来源和任务标签，适用于产物预测、反应条件预测、逆合成分析、反应表示学习、产率预测和反应智能设计等任务。</w:t>
      </w:r>
    </w:p>
    <w:p w14:paraId="7DD18BB4">
      <w:pPr>
        <w:spacing w:after="120" w:line="324" w:lineRule="auto"/>
        <w:ind w:firstLine="420"/>
        <w:jc w:val="both"/>
        <w:rPr>
          <w:rFonts w:ascii="Times New Roman" w:hAnsi="Times New Roman" w:eastAsia="宋体"/>
        </w:rPr>
      </w:pPr>
      <w:r>
        <w:rPr>
          <w:rFonts w:ascii="Times New Roman" w:hAnsi="Times New Roman" w:eastAsia="宋体"/>
          <w:b w:val="0"/>
          <w:sz w:val="21"/>
        </w:rPr>
        <w:t>第三类为谱图数据，主要描述分子结构与核磁共振谱图之间的对应关系，适用于核磁谱图预测、谱图解析、结构确认、分子识别和分子-谱图多模态对齐等任务。</w:t>
      </w:r>
    </w:p>
    <w:p w14:paraId="75E104C4">
      <w:pPr>
        <w:pStyle w:val="3"/>
        <w:spacing w:before="280" w:after="160"/>
        <w:jc w:val="both"/>
        <w:rPr>
          <w:rFonts w:ascii="Times New Roman" w:hAnsi="Times New Roman" w:eastAsia="宋体"/>
        </w:rPr>
      </w:pPr>
      <w:r>
        <w:rPr>
          <w:rFonts w:ascii="Times New Roman" w:hAnsi="Times New Roman" w:eastAsia="宋体"/>
          <w:b/>
          <w:color w:val="1F4E79"/>
          <w:sz w:val="32"/>
        </w:rPr>
        <w:t>三、数据总体规模</w:t>
      </w:r>
    </w:p>
    <w:p w14:paraId="42A541E8">
      <w:pPr>
        <w:spacing w:after="120" w:line="324" w:lineRule="auto"/>
        <w:ind w:firstLine="420"/>
        <w:jc w:val="both"/>
        <w:rPr>
          <w:rFonts w:ascii="Times New Roman" w:hAnsi="Times New Roman" w:eastAsia="宋体"/>
        </w:rPr>
      </w:pPr>
      <w:r>
        <w:rPr>
          <w:rFonts w:ascii="Times New Roman" w:hAnsi="Times New Roman" w:eastAsia="宋体"/>
          <w:b w:val="0"/>
          <w:sz w:val="21"/>
        </w:rPr>
        <w:t>本项目多模态数据库由分子数据、化学反应数据和谱图数据三部分构成。分子数据共 400,000,000 条，主要包括分子 SMILES、分子量、LogP、拓扑极性表面积</w:t>
      </w:r>
      <w:r>
        <w:rPr>
          <w:rFonts w:hint="eastAsia" w:ascii="Times New Roman" w:hAnsi="Times New Roman" w:eastAsia="宋体"/>
          <w:b w:val="0"/>
          <w:sz w:val="21"/>
          <w:lang w:eastAsia="zh-CN"/>
        </w:rPr>
        <w:t>、</w:t>
      </w:r>
      <w:r>
        <w:rPr>
          <w:rFonts w:ascii="Times New Roman" w:hAnsi="Times New Roman" w:eastAsia="宋体"/>
          <w:b w:val="0"/>
          <w:sz w:val="21"/>
        </w:rPr>
        <w:t>氢键供体数量</w:t>
      </w:r>
      <w:r>
        <w:rPr>
          <w:rFonts w:hint="eastAsia" w:ascii="Times New Roman" w:hAnsi="Times New Roman" w:eastAsia="宋体"/>
          <w:b w:val="0"/>
          <w:sz w:val="21"/>
          <w:lang w:eastAsia="zh-CN"/>
        </w:rPr>
        <w:t>、</w:t>
      </w:r>
      <w:r>
        <w:rPr>
          <w:rFonts w:hint="eastAsia" w:ascii="Times New Roman" w:hAnsi="Times New Roman" w:eastAsia="宋体"/>
          <w:b w:val="0"/>
          <w:sz w:val="21"/>
          <w:lang w:val="en-US" w:eastAsia="zh-CN"/>
        </w:rPr>
        <w:t>氢键给体数量</w:t>
      </w:r>
      <w:r>
        <w:rPr>
          <w:rFonts w:ascii="Times New Roman" w:hAnsi="Times New Roman" w:eastAsia="宋体"/>
          <w:b w:val="0"/>
          <w:sz w:val="21"/>
        </w:rPr>
        <w:t>信息。</w:t>
      </w:r>
    </w:p>
    <w:p w14:paraId="4483598A">
      <w:pPr>
        <w:spacing w:after="120" w:line="324" w:lineRule="auto"/>
        <w:ind w:firstLine="420"/>
        <w:jc w:val="both"/>
        <w:rPr>
          <w:rFonts w:ascii="Times New Roman" w:hAnsi="Times New Roman" w:eastAsia="宋体"/>
        </w:rPr>
      </w:pPr>
      <w:r>
        <w:rPr>
          <w:rFonts w:ascii="Times New Roman" w:hAnsi="Times New Roman" w:eastAsia="宋体"/>
          <w:b w:val="0"/>
          <w:sz w:val="21"/>
        </w:rPr>
        <w:t>化学反应数据共 32,281,977 条，主要包括反应物、试剂、产物、反应条件、反应 SMILES、三维结构 token、数据集来源和产率等信息。三维结构 token 属于化学反应数据中的反应物、试剂或产物结构表示。</w:t>
      </w:r>
    </w:p>
    <w:p w14:paraId="30A9399B">
      <w:pPr>
        <w:spacing w:after="120" w:line="324" w:lineRule="auto"/>
        <w:ind w:firstLine="420"/>
        <w:jc w:val="both"/>
        <w:rPr>
          <w:rFonts w:ascii="Times New Roman" w:hAnsi="Times New Roman" w:eastAsia="宋体"/>
        </w:rPr>
      </w:pPr>
      <w:r>
        <w:rPr>
          <w:rFonts w:ascii="Times New Roman" w:hAnsi="Times New Roman" w:eastAsia="宋体"/>
          <w:b w:val="0"/>
          <w:sz w:val="21"/>
        </w:rPr>
        <w:t>谱图数据共 105,764,875 条，主要包括原始 SMILES、标准化 SMILES、InChIKey、氢谱、碳谱、完整 NMR 预测序列、原子索引和等价原子类别等信息。三类数据合计共 538,046,852 条，可支撑大规模化学数据检索、多模态模型训练、下游任务微调以及智能化化学研发平台的数据调用需求。</w:t>
      </w:r>
    </w:p>
    <w:p w14:paraId="6DC1851C">
      <w:pPr>
        <w:pStyle w:val="3"/>
        <w:spacing w:before="280" w:after="160"/>
        <w:jc w:val="both"/>
        <w:rPr>
          <w:rFonts w:ascii="Times New Roman" w:hAnsi="Times New Roman" w:eastAsia="宋体"/>
        </w:rPr>
      </w:pPr>
      <w:r>
        <w:rPr>
          <w:rFonts w:ascii="Times New Roman" w:hAnsi="Times New Roman" w:eastAsia="宋体"/>
          <w:b/>
          <w:color w:val="1F4E79"/>
          <w:sz w:val="32"/>
        </w:rPr>
        <w:t>四、数据基本原则</w:t>
      </w:r>
    </w:p>
    <w:p w14:paraId="21F97D08">
      <w:pPr>
        <w:spacing w:after="120" w:line="324" w:lineRule="auto"/>
        <w:ind w:firstLine="420"/>
        <w:jc w:val="both"/>
        <w:rPr>
          <w:rFonts w:ascii="Times New Roman" w:hAnsi="Times New Roman" w:eastAsia="宋体"/>
        </w:rPr>
      </w:pPr>
      <w:r>
        <w:rPr>
          <w:rFonts w:ascii="Times New Roman" w:hAnsi="Times New Roman" w:eastAsia="宋体"/>
          <w:b w:val="0"/>
          <w:sz w:val="21"/>
        </w:rPr>
        <w:t>第一，结构标准化。所有分子、反应和谱图数据均采用统一字段命名、统一数据类型和统一存储格式，保证不同来源数据能够在同一标准下进行管理和调用。</w:t>
      </w:r>
    </w:p>
    <w:p w14:paraId="4701A429">
      <w:pPr>
        <w:spacing w:after="120" w:line="324" w:lineRule="auto"/>
        <w:ind w:firstLine="420"/>
        <w:jc w:val="both"/>
        <w:rPr>
          <w:rFonts w:ascii="Times New Roman" w:hAnsi="Times New Roman" w:eastAsia="宋体"/>
        </w:rPr>
      </w:pPr>
      <w:r>
        <w:rPr>
          <w:rFonts w:ascii="Times New Roman" w:hAnsi="Times New Roman" w:eastAsia="宋体"/>
          <w:b w:val="0"/>
          <w:sz w:val="21"/>
        </w:rPr>
        <w:t>第二，模态可关联。分子结构、反应三维构象、反应信息和谱图信息之间通过 SMILES、canonical SMILES、InChIKey等关键字段建立关联关系，确保不同模态之间能够实现可追溯、可映射和可建模。</w:t>
      </w:r>
    </w:p>
    <w:p w14:paraId="20F5AF38">
      <w:pPr>
        <w:spacing w:after="120" w:line="324" w:lineRule="auto"/>
        <w:ind w:firstLine="420"/>
        <w:jc w:val="both"/>
        <w:rPr>
          <w:rFonts w:ascii="Times New Roman" w:hAnsi="Times New Roman" w:eastAsia="宋体"/>
        </w:rPr>
      </w:pPr>
      <w:r>
        <w:rPr>
          <w:rFonts w:ascii="Times New Roman" w:hAnsi="Times New Roman" w:eastAsia="宋体"/>
          <w:b w:val="0"/>
          <w:sz w:val="21"/>
        </w:rPr>
        <w:t>第三，字段可解释。数据库中的核心字段均具有明确的化学含义和计算含义，能够直接服务于模型输入、数据检索和人工理解。</w:t>
      </w:r>
    </w:p>
    <w:p w14:paraId="0792BF09">
      <w:pPr>
        <w:spacing w:after="120" w:line="324" w:lineRule="auto"/>
        <w:ind w:firstLine="420"/>
        <w:jc w:val="both"/>
        <w:rPr>
          <w:rFonts w:ascii="Times New Roman" w:hAnsi="Times New Roman" w:eastAsia="宋体"/>
        </w:rPr>
      </w:pPr>
      <w:r>
        <w:rPr>
          <w:rFonts w:ascii="Times New Roman" w:hAnsi="Times New Roman" w:eastAsia="宋体"/>
          <w:b w:val="0"/>
          <w:sz w:val="21"/>
        </w:rPr>
        <w:t>第四，数据可去重。数据库在统计和发布时以清洗去重后的有效记录为准，避免重复分子、重复反应或重复谱图对数据规模和模型训练造成干扰。</w:t>
      </w:r>
    </w:p>
    <w:p w14:paraId="0BB2355E">
      <w:pPr>
        <w:spacing w:after="120" w:line="324" w:lineRule="auto"/>
        <w:ind w:firstLine="420"/>
        <w:jc w:val="both"/>
        <w:rPr>
          <w:rFonts w:ascii="Times New Roman" w:hAnsi="Times New Roman" w:eastAsia="宋体"/>
        </w:rPr>
      </w:pPr>
      <w:r>
        <w:rPr>
          <w:rFonts w:ascii="Times New Roman" w:hAnsi="Times New Roman" w:eastAsia="宋体"/>
          <w:b w:val="0"/>
          <w:sz w:val="21"/>
        </w:rPr>
        <w:t>第五，质量可校验。数据库支持通过自动化脚本对字段完整性、格式规范性、数据类型、模态对应关系和有效性状态进行检查，并通过标准符合率指标量化数据质量。</w:t>
      </w:r>
    </w:p>
    <w:p w14:paraId="18DF9059">
      <w:pPr>
        <w:spacing w:after="120" w:line="324" w:lineRule="auto"/>
        <w:ind w:firstLine="420"/>
        <w:jc w:val="both"/>
        <w:rPr>
          <w:rFonts w:ascii="Times New Roman" w:hAnsi="Times New Roman" w:eastAsia="宋体"/>
        </w:rPr>
      </w:pPr>
      <w:r>
        <w:rPr>
          <w:rFonts w:ascii="Times New Roman" w:hAnsi="Times New Roman" w:eastAsia="宋体"/>
          <w:b w:val="0"/>
          <w:sz w:val="21"/>
        </w:rPr>
        <w:t>第六，任务可复用。数据库字段设计兼顾分子性质预测、反应预测、产率预测、谱图解析、相似性检索、多模态对齐和大模型训练等多类任务需求，保证数据可被不同模型和不同应用场景复用。</w:t>
      </w:r>
    </w:p>
    <w:p w14:paraId="665BAE2C">
      <w:pPr>
        <w:pStyle w:val="3"/>
        <w:spacing w:before="280" w:after="160"/>
        <w:jc w:val="both"/>
        <w:rPr>
          <w:rFonts w:ascii="Times New Roman" w:hAnsi="Times New Roman" w:eastAsia="宋体"/>
        </w:rPr>
      </w:pPr>
      <w:r>
        <w:rPr>
          <w:rFonts w:ascii="Times New Roman" w:hAnsi="Times New Roman" w:eastAsia="宋体"/>
          <w:b/>
          <w:color w:val="1F4E79"/>
          <w:sz w:val="32"/>
        </w:rPr>
        <w:t>五、分子数据标准</w:t>
      </w:r>
    </w:p>
    <w:p w14:paraId="4DDB7121">
      <w:pPr>
        <w:spacing w:after="120" w:line="324" w:lineRule="auto"/>
        <w:ind w:firstLine="420"/>
        <w:jc w:val="both"/>
        <w:rPr>
          <w:rFonts w:ascii="Times New Roman" w:hAnsi="Times New Roman" w:eastAsia="宋体"/>
          <w:b w:val="0"/>
          <w:sz w:val="21"/>
        </w:rPr>
      </w:pPr>
      <w:r>
        <w:rPr>
          <w:rFonts w:ascii="Times New Roman" w:hAnsi="Times New Roman" w:eastAsia="宋体"/>
          <w:b w:val="0"/>
          <w:sz w:val="21"/>
        </w:rPr>
        <w:t>分子数据用于描述单个化合物的结构与理化性质。每条分子数据应对应一个有效的分子对象，包含分子的一维结构表示和基础理化性质信息。</w:t>
      </w:r>
    </w:p>
    <w:p w14:paraId="5E09BECA">
      <w:pPr>
        <w:spacing w:after="120" w:line="324" w:lineRule="auto"/>
        <w:ind w:firstLine="420"/>
        <w:jc w:val="both"/>
        <w:rPr>
          <w:rFonts w:ascii="Times New Roman" w:hAnsi="Times New Roman" w:eastAsia="宋体"/>
        </w:rPr>
      </w:pPr>
      <w:r>
        <w:rPr>
          <w:rFonts w:ascii="Times New Roman" w:hAnsi="Times New Roman" w:eastAsia="宋体"/>
          <w:b w:val="0"/>
          <w:sz w:val="21"/>
        </w:rPr>
        <w:t>分子数据主要用于分子表征、性质预测和相似性检索等任务，也可作为分子生成、虚拟筛选和分子空间分析中的基础结构数据。</w:t>
      </w:r>
    </w:p>
    <w:p w14:paraId="556C9E8D">
      <w:pPr>
        <w:spacing w:after="120" w:line="324" w:lineRule="auto"/>
        <w:ind w:firstLine="420"/>
        <w:jc w:val="both"/>
        <w:rPr>
          <w:rFonts w:ascii="Times New Roman" w:hAnsi="Times New Roman" w:eastAsia="宋体"/>
          <w:b w:val="0"/>
          <w:sz w:val="21"/>
        </w:rPr>
      </w:pPr>
      <w:r>
        <w:rPr>
          <w:rFonts w:ascii="Times New Roman" w:hAnsi="Times New Roman" w:eastAsia="宋体"/>
          <w:b w:val="0"/>
          <w:sz w:val="21"/>
        </w:rPr>
        <w:t>分子数据应至少包含以下核心字段：smiles、mol_wt、logp、tpsa、hbd 和 hba。</w:t>
      </w:r>
    </w:p>
    <w:p w14:paraId="0DC5A15B">
      <w:pPr>
        <w:spacing w:after="120" w:line="324" w:lineRule="auto"/>
        <w:ind w:firstLine="420"/>
        <w:jc w:val="both"/>
        <w:rPr>
          <w:rFonts w:ascii="Times New Roman" w:hAnsi="Times New Roman" w:eastAsia="宋体"/>
        </w:rPr>
      </w:pPr>
      <w:r>
        <w:rPr>
          <w:rFonts w:ascii="Times New Roman" w:hAnsi="Times New Roman" w:eastAsia="宋体"/>
          <w:b w:val="0"/>
          <w:sz w:val="21"/>
        </w:rPr>
        <w:t>smiles 表示分子的 SMILES 线性结构表示，用 ASCII 字符串编码原子、键、支链和环等连接关系，是分子结构建模、分子检索和相似性分析的核心输入字段。</w:t>
      </w:r>
    </w:p>
    <w:p w14:paraId="1209C912">
      <w:pPr>
        <w:spacing w:after="120" w:line="324" w:lineRule="auto"/>
        <w:ind w:firstLine="420"/>
        <w:jc w:val="both"/>
        <w:rPr>
          <w:rFonts w:ascii="Times New Roman" w:hAnsi="Times New Roman" w:eastAsia="宋体"/>
        </w:rPr>
      </w:pPr>
      <w:r>
        <w:rPr>
          <w:rFonts w:ascii="Times New Roman" w:hAnsi="Times New Roman" w:eastAsia="宋体"/>
          <w:b w:val="0"/>
          <w:sz w:val="21"/>
        </w:rPr>
        <w:t>mol_wt 表示 molecular weight，即分子量，通常以 g/mol 计，用于描述分子整体质量。该字段可用于分子性质筛选、分子空间分析和模型特征输入。</w:t>
      </w:r>
    </w:p>
    <w:p w14:paraId="76EDBEF3">
      <w:pPr>
        <w:spacing w:after="120" w:line="324" w:lineRule="auto"/>
        <w:ind w:firstLine="420"/>
        <w:jc w:val="both"/>
        <w:rPr>
          <w:rFonts w:ascii="Times New Roman" w:hAnsi="Times New Roman" w:eastAsia="宋体"/>
        </w:rPr>
      </w:pPr>
      <w:r>
        <w:rPr>
          <w:rFonts w:ascii="Times New Roman" w:hAnsi="Times New Roman" w:eastAsia="宋体"/>
          <w:b w:val="0"/>
          <w:sz w:val="21"/>
        </w:rPr>
        <w:t>logp 表示辛醇/水分配系数的对数，用于反映分子的疏水性或脂溶性。该字段常用于药物分子筛选、溶解性分析、分配行为预测和分子性质建模。</w:t>
      </w:r>
    </w:p>
    <w:p w14:paraId="7A7F0357">
      <w:pPr>
        <w:spacing w:after="120" w:line="324" w:lineRule="auto"/>
        <w:ind w:firstLine="420"/>
        <w:jc w:val="both"/>
        <w:rPr>
          <w:rFonts w:ascii="Times New Roman" w:hAnsi="Times New Roman" w:eastAsia="宋体"/>
        </w:rPr>
      </w:pPr>
      <w:r>
        <w:rPr>
          <w:rFonts w:ascii="Times New Roman" w:hAnsi="Times New Roman" w:eastAsia="宋体"/>
          <w:b w:val="0"/>
          <w:sz w:val="21"/>
        </w:rPr>
        <w:t>tpsa 表示 topological polar surface area，即拓扑极性表面积，用于反映极性原子贡献的表面积。该字段可用于分子极性、溶解性、渗透性和分子相互作用能力分析。</w:t>
      </w:r>
    </w:p>
    <w:p w14:paraId="1F40931E">
      <w:pPr>
        <w:spacing w:after="120" w:line="324" w:lineRule="auto"/>
        <w:ind w:firstLine="420"/>
        <w:jc w:val="both"/>
        <w:rPr>
          <w:rFonts w:ascii="Times New Roman" w:hAnsi="Times New Roman" w:eastAsia="宋体"/>
        </w:rPr>
      </w:pPr>
      <w:r>
        <w:rPr>
          <w:rFonts w:ascii="Times New Roman" w:hAnsi="Times New Roman" w:eastAsia="宋体"/>
          <w:b w:val="0"/>
          <w:sz w:val="21"/>
        </w:rPr>
        <w:t>hbd 表示 hydrogen bond donors，即氢键供体数量。该字段用于描述分子能够提供氢键的位点数量，可用于分子相互作用、溶解性和结构-性质关系建模。</w:t>
      </w:r>
    </w:p>
    <w:p w14:paraId="207FC9FA">
      <w:pPr>
        <w:spacing w:after="120" w:line="324" w:lineRule="auto"/>
        <w:ind w:firstLine="420"/>
        <w:jc w:val="both"/>
        <w:rPr>
          <w:rFonts w:ascii="Times New Roman" w:hAnsi="Times New Roman" w:eastAsia="宋体"/>
        </w:rPr>
      </w:pPr>
      <w:r>
        <w:rPr>
          <w:rFonts w:ascii="Times New Roman" w:hAnsi="Times New Roman" w:eastAsia="宋体"/>
          <w:b w:val="0"/>
          <w:sz w:val="21"/>
        </w:rPr>
        <w:t>hba 表示 hydrogen bond acceptors，即氢键受体数量。该字段用于描述分子能够接受氢键的位点数量，可用于氢键相互作用、极性特征分析、溶解性判断和分子性质建模。</w:t>
      </w:r>
    </w:p>
    <w:p w14:paraId="7B5DD3EE">
      <w:pPr>
        <w:spacing w:after="120" w:line="324" w:lineRule="auto"/>
        <w:ind w:firstLine="420"/>
        <w:jc w:val="both"/>
        <w:rPr>
          <w:rFonts w:ascii="Times New Roman" w:hAnsi="Times New Roman" w:eastAsia="宋体"/>
        </w:rPr>
      </w:pPr>
      <w:r>
        <w:rPr>
          <w:rFonts w:ascii="Times New Roman" w:hAnsi="Times New Roman" w:eastAsia="宋体"/>
          <w:b w:val="0"/>
          <w:sz w:val="21"/>
        </w:rPr>
        <w:t>smiles 字段应为有效字符串，不得为空。mol_wt、logp、tpsa、hbd 和 hba 应为数值型字段。其中，mol_wt、tpsa、hbd 和 hba 不应出现不合理的负值。</w:t>
      </w:r>
    </w:p>
    <w:p w14:paraId="453F0AC7">
      <w:pPr>
        <w:spacing w:after="120" w:line="324" w:lineRule="auto"/>
        <w:ind w:firstLine="420"/>
        <w:jc w:val="both"/>
        <w:rPr>
          <w:rFonts w:ascii="Times New Roman" w:hAnsi="Times New Roman" w:eastAsia="宋体"/>
        </w:rPr>
      </w:pPr>
      <w:r>
        <w:rPr>
          <w:rFonts w:ascii="Times New Roman" w:hAnsi="Times New Roman" w:eastAsia="宋体"/>
          <w:b w:val="0"/>
          <w:sz w:val="21"/>
        </w:rPr>
        <w:t>在模型调用过程中，smiles 可作为一维序列模型或分子指纹模型的输入；mol_wt、logp、tpsa、hbd 和 hba 可作为分子理化性质特征、筛选条件或下游任务的辅助变量。</w:t>
      </w:r>
    </w:p>
    <w:p w14:paraId="3D1489DD">
      <w:pPr>
        <w:pStyle w:val="3"/>
        <w:spacing w:before="280" w:after="160"/>
        <w:jc w:val="both"/>
        <w:rPr>
          <w:rFonts w:ascii="Times New Roman" w:hAnsi="Times New Roman" w:eastAsia="宋体"/>
        </w:rPr>
      </w:pPr>
      <w:r>
        <w:rPr>
          <w:rFonts w:ascii="Times New Roman" w:hAnsi="Times New Roman" w:eastAsia="宋体"/>
          <w:b/>
          <w:color w:val="1F4E79"/>
          <w:sz w:val="32"/>
        </w:rPr>
        <w:t>六、化学反应数据标准</w:t>
      </w:r>
    </w:p>
    <w:p w14:paraId="22B45B12">
      <w:pPr>
        <w:spacing w:after="120" w:line="324" w:lineRule="auto"/>
        <w:ind w:firstLine="420"/>
        <w:jc w:val="both"/>
        <w:rPr>
          <w:rFonts w:ascii="Times New Roman" w:hAnsi="Times New Roman" w:eastAsia="宋体"/>
        </w:rPr>
      </w:pPr>
      <w:r>
        <w:rPr>
          <w:rFonts w:ascii="Times New Roman" w:hAnsi="Times New Roman" w:eastAsia="宋体"/>
          <w:b w:val="0"/>
          <w:sz w:val="21"/>
        </w:rPr>
        <w:t>化学反应数据用于描述化学反应中的反应物、试剂、反应条件、产物、数据来源和任务标签。每条反应数据应对应一个具体的反应样本或反应条件组合。该类数据主要用于产物预测、反应条件预测、逆合成分析、反应表示学习、产率预测、反应筛选和智能合成设计等任务。</w:t>
      </w:r>
    </w:p>
    <w:p w14:paraId="26CEDCAE">
      <w:pPr>
        <w:spacing w:after="120" w:line="324" w:lineRule="auto"/>
        <w:ind w:firstLine="420"/>
        <w:jc w:val="both"/>
        <w:rPr>
          <w:rFonts w:ascii="Times New Roman" w:hAnsi="Times New Roman" w:eastAsia="宋体"/>
        </w:rPr>
      </w:pPr>
      <w:r>
        <w:rPr>
          <w:rFonts w:ascii="Times New Roman" w:hAnsi="Times New Roman" w:eastAsia="宋体"/>
          <w:b w:val="0"/>
          <w:sz w:val="21"/>
        </w:rPr>
        <w:t>dataset 表示数据集名称，用于区分反应数据的来源和任务类型。当前数据库中的反应数据来源包括 USPTO_MIT、USPTO_Condition、USPTO_500_MT、USPTO_50k、SMol-Reactions-RS、SMol-Reactions-FP、Reaxys、pistachio 和 Buchwald-Hartwig 。该字段应保留原始数据集来源信息，以支持数据追溯、任务划分、模型训练集构建和不同数据源之间的性能分析。</w:t>
      </w:r>
    </w:p>
    <w:p w14:paraId="19D6D87D">
      <w:pPr>
        <w:spacing w:after="120" w:line="324" w:lineRule="auto"/>
        <w:ind w:firstLine="420"/>
        <w:jc w:val="both"/>
        <w:rPr>
          <w:rFonts w:ascii="Times New Roman" w:hAnsi="Times New Roman" w:eastAsia="宋体"/>
        </w:rPr>
      </w:pPr>
      <w:r>
        <w:rPr>
          <w:rFonts w:ascii="Times New Roman" w:hAnsi="Times New Roman" w:eastAsia="宋体"/>
          <w:b w:val="0"/>
          <w:sz w:val="21"/>
        </w:rPr>
        <w:t>通用反应字段包括 reactant_1d_smiles、reactant_3d_smiles、reagent_1d_smiles、reagent_3d_smiles、product_1d_smiles 和 product_3d_smiles。其中，reactant_1d_smiles 表示反应物的一维 SMILES，reactant_3d_smiles 表示反应物的三维结构 token 表示；reagent_1d_smiles 表示试剂、溶剂、催化剂、碱等条件分子的一维 SMILES，reagent_3d_smiles 表示试剂或条件分子的三维结构 token 表示；product_1d_smiles 表示产物的一维 SMILES，product_3d_smiles 表示产物的三维结构 token 表示。</w:t>
      </w:r>
    </w:p>
    <w:p w14:paraId="70EB138C">
      <w:pPr>
        <w:spacing w:after="120" w:line="324" w:lineRule="auto"/>
        <w:ind w:firstLine="420"/>
        <w:jc w:val="both"/>
        <w:rPr>
          <w:rFonts w:ascii="Times New Roman" w:hAnsi="Times New Roman" w:eastAsia="宋体"/>
        </w:rPr>
      </w:pPr>
      <w:r>
        <w:rPr>
          <w:rFonts w:ascii="Times New Roman" w:hAnsi="Times New Roman" w:eastAsia="宋体"/>
          <w:b w:val="0"/>
          <w:sz w:val="21"/>
        </w:rPr>
        <w:t>对于配体或小分子相关数据，应包含 smiles 和 smiles_3d 字段。smiles 表示配体或小分子的一维 SMILES，smiles_3d 表示配体或小分子的三维结构 token 表示。该类字段主要用于配体参与的反应建模、配体筛选和反应条件优化等任务。</w:t>
      </w:r>
    </w:p>
    <w:p w14:paraId="435F656C">
      <w:pPr>
        <w:spacing w:after="120" w:line="324" w:lineRule="auto"/>
        <w:ind w:firstLine="420"/>
        <w:jc w:val="both"/>
        <w:rPr>
          <w:rFonts w:ascii="Times New Roman" w:hAnsi="Times New Roman" w:eastAsia="宋体"/>
        </w:rPr>
      </w:pPr>
      <w:r>
        <w:rPr>
          <w:rFonts w:ascii="Times New Roman" w:hAnsi="Times New Roman" w:eastAsia="宋体"/>
          <w:b w:val="0"/>
          <w:sz w:val="21"/>
        </w:rPr>
        <w:t>对于 Buchwald-Hartwig 反应相关数据，应包含 source、target、reaction_smiles、reactants、reagents、products 和 yield 字段。source 表示模型输入序列，通常对应完整反应信息；target 表示模型预测目标，主要为反应产率数值；reaction_smiles 表示完整反应 SMILES，通常采用 reactants&gt;reagents&gt;products 的格式组织；reactants 表示反应物，reagents 表示反应条件，products 表示反应产物，yield 表示反应产率。</w:t>
      </w:r>
    </w:p>
    <w:p w14:paraId="4AD14FA6">
      <w:pPr>
        <w:spacing w:after="120" w:line="324" w:lineRule="auto"/>
        <w:ind w:firstLine="420"/>
        <w:jc w:val="both"/>
        <w:rPr>
          <w:rFonts w:ascii="Times New Roman" w:hAnsi="Times New Roman" w:eastAsia="宋体"/>
        </w:rPr>
      </w:pPr>
      <w:r>
        <w:rPr>
          <w:rFonts w:ascii="Times New Roman" w:hAnsi="Times New Roman" w:eastAsia="宋体"/>
          <w:b w:val="0"/>
          <w:sz w:val="21"/>
        </w:rPr>
        <w:t>反应数据中的 SMILES 字段应为有效字符串。reaction_smiles 字段应符合 reactants&gt;reagents&gt;products 的基本反应 SMILES 格式。yield 和 target 字段在用于产率预测任务时应为数值型字段。reactant_3d_smiles、reagent_3d_smiles 和 product_3d_smiles 应与对应的一维 SMILES 指向同一化学对象，避免一维结构与三维结构 token 不一致。</w:t>
      </w:r>
    </w:p>
    <w:p w14:paraId="6E906FDC">
      <w:pPr>
        <w:spacing w:after="120" w:line="324" w:lineRule="auto"/>
        <w:ind w:firstLine="420"/>
        <w:jc w:val="both"/>
        <w:rPr>
          <w:rFonts w:ascii="Times New Roman" w:hAnsi="Times New Roman" w:eastAsia="宋体"/>
        </w:rPr>
      </w:pPr>
      <w:r>
        <w:rPr>
          <w:rFonts w:ascii="Times New Roman" w:hAnsi="Times New Roman" w:eastAsia="宋体"/>
          <w:b w:val="0"/>
          <w:sz w:val="21"/>
        </w:rPr>
        <w:t>化学反应数据包含一维结构模态、三维结构 token 模态、反应序列模态、反应条件模态和数值标签模态。在多模态反应建模中，应保证反应物、试剂、产物和标签之间具有明确的一一对应关系。</w:t>
      </w:r>
    </w:p>
    <w:p w14:paraId="5ACF4E4F">
      <w:pPr>
        <w:pStyle w:val="3"/>
        <w:spacing w:before="280" w:after="160"/>
        <w:jc w:val="both"/>
        <w:rPr>
          <w:rFonts w:ascii="Times New Roman" w:hAnsi="Times New Roman" w:eastAsia="宋体"/>
        </w:rPr>
      </w:pPr>
      <w:r>
        <w:rPr>
          <w:rFonts w:ascii="Times New Roman" w:hAnsi="Times New Roman" w:eastAsia="宋体"/>
          <w:b/>
          <w:color w:val="1F4E79"/>
          <w:sz w:val="32"/>
        </w:rPr>
        <w:t>七、谱图数据标准</w:t>
      </w:r>
    </w:p>
    <w:p w14:paraId="6CA3A0A5">
      <w:pPr>
        <w:spacing w:after="120" w:line="324" w:lineRule="auto"/>
        <w:ind w:firstLine="420"/>
        <w:jc w:val="both"/>
        <w:rPr>
          <w:rFonts w:ascii="Times New Roman" w:hAnsi="Times New Roman" w:eastAsia="宋体"/>
        </w:rPr>
      </w:pPr>
      <w:r>
        <w:rPr>
          <w:rFonts w:ascii="Times New Roman" w:hAnsi="Times New Roman" w:eastAsia="宋体"/>
          <w:b w:val="0"/>
          <w:sz w:val="21"/>
        </w:rPr>
        <w:t>谱图数据用于描述分子结构与核磁共振谱图信息之间的对应关系。每条谱图数据应包含分子结构标识、标准化结构表示、分子唯一标识符以及对应的核磁共振预测谱图信息。该类数据主要用于 1H NMR 和 13C NMR 谱图预测、谱图解析、分子结构确认、分子识别、分子-谱图多模态对齐和核磁智能解谱等任务。</w:t>
      </w:r>
    </w:p>
    <w:p w14:paraId="7D989932">
      <w:pPr>
        <w:spacing w:after="120" w:line="324" w:lineRule="auto"/>
        <w:ind w:firstLine="420"/>
        <w:jc w:val="both"/>
        <w:rPr>
          <w:rFonts w:ascii="Times New Roman" w:hAnsi="Times New Roman" w:eastAsia="宋体"/>
        </w:rPr>
      </w:pPr>
      <w:r>
        <w:rPr>
          <w:rFonts w:ascii="Times New Roman" w:hAnsi="Times New Roman" w:eastAsia="宋体"/>
          <w:b w:val="0"/>
          <w:sz w:val="21"/>
        </w:rPr>
        <w:t>smiles 表示原始 SMILES 分子结构字符串，用于以线性文本表示分子的原子、键、环、支链等连接关系。canonical_smiles 表示标准化后的 SMILES，相比原始 smiles，该字段经过规范化处理，同一个分子通常会对应唯一或更稳定的结构表示，便于去重、检索和模型输入。</w:t>
      </w:r>
    </w:p>
    <w:p w14:paraId="57A10703">
      <w:pPr>
        <w:spacing w:after="120" w:line="324" w:lineRule="auto"/>
        <w:ind w:firstLine="420"/>
        <w:jc w:val="both"/>
        <w:rPr>
          <w:rFonts w:ascii="Times New Roman" w:hAnsi="Times New Roman" w:eastAsia="宋体"/>
        </w:rPr>
      </w:pPr>
      <w:r>
        <w:rPr>
          <w:rFonts w:ascii="Times New Roman" w:hAnsi="Times New Roman" w:eastAsia="宋体"/>
          <w:b w:val="0"/>
          <w:sz w:val="21"/>
        </w:rPr>
        <w:t>inchikey 表示 InChIKey 分子唯一标识符。该字段由 InChI 转换得到，可用于跨数据库检索同一个化合物。H_nmr 表示预测的氢谱 1H NMR 化学位移列表，单位为 ppm。C_nmr 表示预测的碳谱 13C NMR 化学位移列表，单位为 ppm。nmr_predict 表示完整 NMR 预测值序列，单位为 ppm。</w:t>
      </w:r>
    </w:p>
    <w:p w14:paraId="18DE9AB7">
      <w:pPr>
        <w:spacing w:after="120" w:line="324" w:lineRule="auto"/>
        <w:ind w:firstLine="420"/>
        <w:jc w:val="both"/>
        <w:rPr>
          <w:rFonts w:ascii="Times New Roman" w:hAnsi="Times New Roman" w:eastAsia="宋体"/>
        </w:rPr>
      </w:pPr>
      <w:r>
        <w:rPr>
          <w:rFonts w:ascii="Times New Roman" w:hAnsi="Times New Roman" w:eastAsia="宋体"/>
          <w:b w:val="0"/>
          <w:sz w:val="21"/>
        </w:rPr>
        <w:t>atom_index 表示原子类型或原子序数列表。equi_class 表示等价原子类别编号。编号相同表示这些原子在分子对称性或化学环境中被认为属于同一等价类，通常会有相同或相近的 NMR 化学位移。</w:t>
      </w:r>
    </w:p>
    <w:p w14:paraId="4A8C4F84">
      <w:pPr>
        <w:spacing w:after="120" w:line="324" w:lineRule="auto"/>
        <w:ind w:firstLine="420"/>
        <w:jc w:val="both"/>
        <w:rPr>
          <w:rFonts w:ascii="Times New Roman" w:hAnsi="Times New Roman" w:eastAsia="宋体"/>
        </w:rPr>
      </w:pPr>
      <w:r>
        <w:rPr>
          <w:rFonts w:ascii="Times New Roman" w:hAnsi="Times New Roman" w:eastAsia="宋体"/>
          <w:b w:val="0"/>
          <w:sz w:val="21"/>
        </w:rPr>
        <w:t>smiles、canonical_smiles 和 inchikey 应为有效字符串。H_nmr、C_nmr 和 nmr_predict 应为数值列表，列表中的数值单位统一为 ppm。atom_index 和 equi_class 应为列表类型，并应与相关原子索引保持对应关系。</w:t>
      </w:r>
    </w:p>
    <w:p w14:paraId="02ADA050">
      <w:pPr>
        <w:spacing w:after="120" w:line="324" w:lineRule="auto"/>
        <w:ind w:firstLine="420"/>
        <w:jc w:val="both"/>
        <w:rPr>
          <w:rFonts w:ascii="Times New Roman" w:hAnsi="Times New Roman" w:eastAsia="宋体"/>
        </w:rPr>
      </w:pPr>
      <w:r>
        <w:rPr>
          <w:rFonts w:ascii="Times New Roman" w:hAnsi="Times New Roman" w:eastAsia="宋体"/>
          <w:b w:val="0"/>
          <w:sz w:val="21"/>
        </w:rPr>
        <w:t>谱图数据包含分子结构模态、分子标识模态、谱图数值模态和原子环境模态。在谱图建模任务中，应确保分子结构与谱图序列属于同一分子对象，避免结构与谱图标签错配。</w:t>
      </w:r>
    </w:p>
    <w:p w14:paraId="3A4B4959">
      <w:pPr>
        <w:pStyle w:val="3"/>
        <w:spacing w:before="280" w:after="160"/>
        <w:jc w:val="both"/>
        <w:rPr>
          <w:rFonts w:ascii="Times New Roman" w:hAnsi="Times New Roman" w:eastAsia="宋体"/>
        </w:rPr>
      </w:pPr>
      <w:r>
        <w:rPr>
          <w:rFonts w:ascii="Times New Roman" w:hAnsi="Times New Roman" w:eastAsia="宋体"/>
          <w:b/>
          <w:color w:val="1F4E79"/>
          <w:sz w:val="32"/>
        </w:rPr>
        <w:t>八、多模态关联标准</w:t>
      </w:r>
    </w:p>
    <w:p w14:paraId="58340A96">
      <w:pPr>
        <w:spacing w:after="120" w:line="324" w:lineRule="auto"/>
        <w:ind w:firstLine="420"/>
        <w:jc w:val="both"/>
        <w:rPr>
          <w:rFonts w:ascii="Times New Roman" w:hAnsi="Times New Roman" w:eastAsia="宋体"/>
        </w:rPr>
      </w:pPr>
      <w:r>
        <w:rPr>
          <w:rFonts w:ascii="Times New Roman" w:hAnsi="Times New Roman" w:eastAsia="宋体"/>
          <w:b w:val="0"/>
          <w:sz w:val="21"/>
        </w:rPr>
        <w:t>多模态数据关联是本数据库的重要特征。不同模态之间应通过统一的结构标识字段建立对应关系。对于分子数据，smiles 是分子结构模态的核心字段，mol_wt、logp、tpsa、hbd 和 hba 是分子理化性质字段，二者共同描述同一个分子对象。</w:t>
      </w:r>
    </w:p>
    <w:p w14:paraId="0AF6C599">
      <w:pPr>
        <w:spacing w:after="120" w:line="324" w:lineRule="auto"/>
        <w:ind w:firstLine="420"/>
        <w:jc w:val="both"/>
        <w:rPr>
          <w:rFonts w:ascii="Times New Roman" w:hAnsi="Times New Roman" w:eastAsia="宋体"/>
        </w:rPr>
      </w:pPr>
      <w:r>
        <w:rPr>
          <w:rFonts w:ascii="Times New Roman" w:hAnsi="Times New Roman" w:eastAsia="宋体"/>
          <w:b w:val="0"/>
          <w:sz w:val="21"/>
        </w:rPr>
        <w:t>对于反应数据，reactant_1d_smiles、reagent_1d_smiles 和 product_1d_smiles 应分别与对应的三维结构 token 字段保持一致，即 reactant_3d_smiles、reagent_3d_smiles 和 product_3d_smiles 应分别对应相同的反应物、试剂和产物对象。</w:t>
      </w:r>
    </w:p>
    <w:p w14:paraId="54704098">
      <w:pPr>
        <w:spacing w:after="120" w:line="324" w:lineRule="auto"/>
        <w:ind w:firstLine="420"/>
        <w:jc w:val="both"/>
        <w:rPr>
          <w:rFonts w:ascii="Times New Roman" w:hAnsi="Times New Roman" w:eastAsia="宋体"/>
        </w:rPr>
      </w:pPr>
      <w:r>
        <w:rPr>
          <w:rFonts w:ascii="Times New Roman" w:hAnsi="Times New Roman" w:eastAsia="宋体"/>
          <w:b w:val="0"/>
          <w:sz w:val="21"/>
        </w:rPr>
        <w:t>对于谱图数据，smiles、canonical_smiles 和 inchikey 应共同指向同一个分子对象，谱图字段 H_nmr、C_nmr 和 nmr_predict 应对应该分子的核磁共振预测信息。</w:t>
      </w:r>
    </w:p>
    <w:p w14:paraId="6A53A26B">
      <w:pPr>
        <w:spacing w:after="120" w:line="324" w:lineRule="auto"/>
        <w:ind w:firstLine="420"/>
        <w:jc w:val="both"/>
        <w:rPr>
          <w:rFonts w:ascii="Times New Roman" w:hAnsi="Times New Roman" w:eastAsia="宋体"/>
        </w:rPr>
      </w:pPr>
      <w:r>
        <w:rPr>
          <w:rFonts w:ascii="Times New Roman" w:hAnsi="Times New Roman" w:eastAsia="宋体"/>
          <w:b w:val="0"/>
          <w:sz w:val="21"/>
        </w:rPr>
        <w:t>在跨模态任务中，建议优先使用 canonical_smiles 和 inchikey 作为分子级别去重和关联字段，使用 reaction_smiles 作为反应级别关联字段。</w:t>
      </w:r>
    </w:p>
    <w:p w14:paraId="5D277E85">
      <w:pPr>
        <w:pStyle w:val="3"/>
        <w:spacing w:before="280" w:after="160"/>
        <w:jc w:val="both"/>
        <w:rPr>
          <w:rFonts w:ascii="Times New Roman" w:hAnsi="Times New Roman" w:eastAsia="宋体"/>
        </w:rPr>
      </w:pPr>
      <w:r>
        <w:rPr>
          <w:rFonts w:ascii="Times New Roman" w:hAnsi="Times New Roman" w:eastAsia="宋体"/>
          <w:b/>
          <w:color w:val="1F4E79"/>
          <w:sz w:val="32"/>
        </w:rPr>
        <w:t>九、数据质量控制标准</w:t>
      </w:r>
    </w:p>
    <w:p w14:paraId="6A492531">
      <w:pPr>
        <w:spacing w:after="120" w:line="324" w:lineRule="auto"/>
        <w:ind w:firstLine="420"/>
        <w:jc w:val="both"/>
        <w:rPr>
          <w:rFonts w:ascii="Times New Roman" w:hAnsi="Times New Roman" w:eastAsia="宋体"/>
        </w:rPr>
      </w:pPr>
      <w:r>
        <w:rPr>
          <w:rFonts w:ascii="Times New Roman" w:hAnsi="Times New Roman" w:eastAsia="宋体"/>
          <w:b w:val="0"/>
          <w:sz w:val="21"/>
        </w:rPr>
        <w:t>有效数据是指经过清洗、去重、格式检查和状态标记后，可用于检索、统计、模型训练或任务评估的数据记录。对于分子数据，有效记录应至少满足 SMILES 有效、核心理化性质字段格式正确、数值范围合理等条件。</w:t>
      </w:r>
    </w:p>
    <w:p w14:paraId="4CBB0CA8">
      <w:pPr>
        <w:spacing w:after="120" w:line="324" w:lineRule="auto"/>
        <w:ind w:firstLine="420"/>
        <w:jc w:val="both"/>
        <w:rPr>
          <w:rFonts w:ascii="Times New Roman" w:hAnsi="Times New Roman" w:eastAsia="宋体"/>
        </w:rPr>
      </w:pPr>
      <w:r>
        <w:rPr>
          <w:rFonts w:ascii="Times New Roman" w:hAnsi="Times New Roman" w:eastAsia="宋体"/>
          <w:b w:val="0"/>
          <w:sz w:val="21"/>
        </w:rPr>
        <w:t>对于化学反应数据，有效记录应至少满足反应物、试剂或产物字段可解析，反应 SMILES 格式符合要求，产率或任务标签字段类型正确等条件。对于谱图数据，有效记录应至少满足分子结构字段有效，InChIKey 或标准化 SMILES 可用于分子识别，谱图序列为有效数值列表等条件。</w:t>
      </w:r>
    </w:p>
    <w:p w14:paraId="1265B010">
      <w:pPr>
        <w:spacing w:after="120" w:line="324" w:lineRule="auto"/>
        <w:ind w:firstLine="420"/>
        <w:jc w:val="both"/>
        <w:rPr>
          <w:rFonts w:ascii="Times New Roman" w:hAnsi="Times New Roman" w:eastAsia="宋体"/>
        </w:rPr>
      </w:pPr>
      <w:r>
        <w:rPr>
          <w:rFonts w:ascii="Times New Roman" w:hAnsi="Times New Roman" w:eastAsia="宋体"/>
          <w:b w:val="0"/>
          <w:sz w:val="21"/>
        </w:rPr>
        <w:t>数据库统计发布时，应以清洗去重后的有效数据为准。分子数据可基于 smiles 或标准化后的结构表示进行去重；化学反应数据可基于 reaction_smiles、反应物-试剂-产物组合以及数据来源字段进行去重；谱图数据可基于 canonical_smiles、inchikey 和谱图字段组合进行去重。</w:t>
      </w:r>
    </w:p>
    <w:p w14:paraId="2A8438C1">
      <w:pPr>
        <w:spacing w:after="120" w:line="324" w:lineRule="auto"/>
        <w:ind w:firstLine="420"/>
        <w:jc w:val="both"/>
        <w:rPr>
          <w:rFonts w:ascii="Times New Roman" w:hAnsi="Times New Roman" w:eastAsia="宋体"/>
        </w:rPr>
      </w:pPr>
      <w:r>
        <w:rPr>
          <w:rFonts w:ascii="Times New Roman" w:hAnsi="Times New Roman" w:eastAsia="宋体"/>
          <w:b w:val="0"/>
          <w:sz w:val="21"/>
        </w:rPr>
        <w:t>字段完整性校验用于检查每条数据是否包含对应数据类型所需的核心字段。分子数据应检查 smiles、mol_wt、logp、tpsa、hbd 和 hba 等字段。反应数据应根据具体数据来源和任务类型检查 dataset、reactant_1d_smiles、reactant_3d_smiles、reagent_1d_smiles、reagent_3d_smiles、product_1d_smiles、product_3d_smiles、reaction_smiles、reactants、reagents、products、yield 等字段。谱图数据应检查 smiles、canonical_smiles、inchikey、H_nmr、C_nmr、nmr_predict、atom_index 和 equi_class 等字段。</w:t>
      </w:r>
    </w:p>
    <w:p w14:paraId="3EF4352A">
      <w:pPr>
        <w:spacing w:after="120" w:line="324" w:lineRule="auto"/>
        <w:ind w:firstLine="420"/>
        <w:jc w:val="both"/>
        <w:rPr>
          <w:rFonts w:ascii="Times New Roman" w:hAnsi="Times New Roman" w:eastAsia="宋体"/>
        </w:rPr>
      </w:pPr>
      <w:r>
        <w:rPr>
          <w:rFonts w:ascii="Times New Roman" w:hAnsi="Times New Roman" w:eastAsia="宋体"/>
          <w:b w:val="0"/>
          <w:sz w:val="21"/>
        </w:rPr>
        <w:t>格式规范性校验用于检查字段的数据类型和格式是否符合标准。SMILES 相关字段应为字符串类型，并应能够被化学信息学工具解析或通过规则检查。数值型字段应为整数或浮点数，不应出现非法字符串、空值或无法转换的异常值。列表型字段应保持列表结构，例如核磁谱图序列、原子索引和等价原子类别列表。</w:t>
      </w:r>
    </w:p>
    <w:p w14:paraId="1654B320">
      <w:pPr>
        <w:spacing w:after="120" w:line="324" w:lineRule="auto"/>
        <w:ind w:firstLine="420"/>
        <w:jc w:val="both"/>
        <w:rPr>
          <w:rFonts w:ascii="Times New Roman" w:hAnsi="Times New Roman" w:eastAsia="宋体"/>
        </w:rPr>
      </w:pPr>
      <w:r>
        <w:rPr>
          <w:rFonts w:ascii="Times New Roman" w:hAnsi="Times New Roman" w:eastAsia="宋体"/>
          <w:b w:val="0"/>
          <w:sz w:val="21"/>
        </w:rPr>
        <w:t>模态对齐校验用于检查不同模态是否指向同一化学对象或同一反应对象。对于无法完成模态对应的数据，应标记为模态不完整或模态不一致，不应直接用于多模态模型训练。</w:t>
      </w:r>
    </w:p>
    <w:p w14:paraId="095D9461">
      <w:pPr>
        <w:pStyle w:val="3"/>
        <w:spacing w:before="280" w:after="160"/>
        <w:jc w:val="both"/>
        <w:rPr>
          <w:rFonts w:ascii="Times New Roman" w:hAnsi="Times New Roman" w:eastAsia="宋体"/>
        </w:rPr>
      </w:pPr>
      <w:r>
        <w:rPr>
          <w:rFonts w:ascii="Times New Roman" w:hAnsi="Times New Roman" w:eastAsia="宋体"/>
          <w:b/>
          <w:color w:val="1F4E79"/>
          <w:sz w:val="32"/>
        </w:rPr>
        <w:t>十、数据规模与标准符合度评价方法</w:t>
      </w:r>
    </w:p>
    <w:p w14:paraId="21AEC777">
      <w:pPr>
        <w:spacing w:after="120" w:line="324" w:lineRule="auto"/>
        <w:ind w:firstLine="420"/>
        <w:jc w:val="both"/>
        <w:rPr>
          <w:rFonts w:ascii="Times New Roman" w:hAnsi="Times New Roman" w:eastAsia="宋体"/>
        </w:rPr>
      </w:pPr>
      <w:r>
        <w:rPr>
          <w:rFonts w:ascii="Times New Roman" w:hAnsi="Times New Roman" w:eastAsia="宋体"/>
          <w:b w:val="0"/>
          <w:sz w:val="21"/>
        </w:rPr>
        <w:t>数据库规模与多模态标准符合度通过数据库管理工具或统计脚本进行评价。评价过程首先连接至数据存储环境，针对核心数据表执行全量去重计数操作，统计唯一有效数据的总量，验证数据规模是否达到建设要求。</w:t>
      </w:r>
    </w:p>
    <w:p w14:paraId="766F6B64">
      <w:pPr>
        <w:spacing w:after="120" w:line="324" w:lineRule="auto"/>
        <w:ind w:firstLine="420"/>
        <w:jc w:val="both"/>
        <w:rPr>
          <w:rFonts w:ascii="Times New Roman" w:hAnsi="Times New Roman" w:eastAsia="宋体"/>
        </w:rPr>
      </w:pPr>
      <w:r>
        <w:rPr>
          <w:rFonts w:ascii="Times New Roman" w:hAnsi="Times New Roman" w:eastAsia="宋体"/>
          <w:b w:val="0"/>
          <w:sz w:val="21"/>
        </w:rPr>
        <w:t>随后，采用分层随机抽样方法从数据库中抽取一定数量的样本，例如 1000 条样本。抽样过程应覆盖分子数据、化学反应数据和谱图数据三类数据，避免仅对单一数据类型进行质量评价。</w:t>
      </w:r>
    </w:p>
    <w:p w14:paraId="0011D78C">
      <w:pPr>
        <w:spacing w:after="120" w:line="324" w:lineRule="auto"/>
        <w:ind w:firstLine="420"/>
        <w:jc w:val="both"/>
        <w:rPr>
          <w:rFonts w:ascii="Times New Roman" w:hAnsi="Times New Roman" w:eastAsia="宋体"/>
        </w:rPr>
      </w:pPr>
      <w:r>
        <w:rPr>
          <w:rFonts w:ascii="Times New Roman" w:hAnsi="Times New Roman" w:eastAsia="宋体"/>
          <w:b w:val="0"/>
          <w:sz w:val="21"/>
        </w:rPr>
        <w:t>抽样数据依据本标准对字段完整性、格式规范性、数据类型、模态对齐关系和有效性标记进行自动化校验，并统计通过校验的样本数量。最后计算有效数据总量和标准符合率两个核心指标。</w:t>
      </w:r>
    </w:p>
    <w:p w14:paraId="757FBFFC">
      <w:pPr>
        <w:spacing w:after="120" w:line="324" w:lineRule="auto"/>
        <w:ind w:firstLine="420"/>
        <w:jc w:val="both"/>
        <w:rPr>
          <w:rFonts w:ascii="Times New Roman" w:hAnsi="Times New Roman" w:eastAsia="宋体"/>
        </w:rPr>
      </w:pPr>
      <w:r>
        <w:rPr>
          <w:rFonts w:ascii="Times New Roman" w:hAnsi="Times New Roman" w:eastAsia="宋体"/>
          <w:b w:val="0"/>
          <w:sz w:val="21"/>
        </w:rPr>
        <w:t>有效数据总量 Total Valid Records，记为 Ntotal，表示数据库中经过清洗去重且状态标记为有效的数据记录总数。其计算方式为：Ntotal = Σ Count(Tablei), i = 1, 2, ..., M。其中，M 表示数据分表数量，Count(Tablei) 表示第 i 个数据表中的有效记录数量。</w:t>
      </w:r>
    </w:p>
    <w:p w14:paraId="50E31754">
      <w:pPr>
        <w:spacing w:after="120" w:line="324" w:lineRule="auto"/>
        <w:ind w:firstLine="420"/>
        <w:jc w:val="both"/>
        <w:rPr>
          <w:rFonts w:ascii="Times New Roman" w:hAnsi="Times New Roman" w:eastAsia="宋体"/>
        </w:rPr>
      </w:pPr>
      <w:r>
        <w:rPr>
          <w:rFonts w:ascii="Times New Roman" w:hAnsi="Times New Roman" w:eastAsia="宋体"/>
          <w:b w:val="0"/>
          <w:sz w:val="21"/>
        </w:rPr>
        <w:t>标准符合率 Standard Compliance Rate，记为 Rcompliance，表示随机抽样数据中完全符合多模态数据标准规范的样本所占比例。其计算方式为：Rcompliance = Npass / Nsample × 100%。其中，Nsample 表示抽样样本总数，Npass 表示校验通过的样本数量。当样本同时满足 Schema 定义、字段类型、字段完整性、格式规范性和模态关联关系要求时，方可计入 Npass。</w:t>
      </w:r>
    </w:p>
    <w:p w14:paraId="41608D75">
      <w:pPr>
        <w:pStyle w:val="3"/>
        <w:spacing w:before="280" w:after="160"/>
        <w:jc w:val="both"/>
        <w:rPr>
          <w:rFonts w:ascii="Times New Roman" w:hAnsi="Times New Roman" w:eastAsia="宋体"/>
        </w:rPr>
      </w:pPr>
      <w:r>
        <w:rPr>
          <w:rFonts w:ascii="Times New Roman" w:hAnsi="Times New Roman" w:eastAsia="宋体"/>
          <w:b/>
          <w:color w:val="1F4E79"/>
          <w:sz w:val="32"/>
        </w:rPr>
        <w:t>十一、数据发布与使用说明</w:t>
      </w:r>
    </w:p>
    <w:p w14:paraId="1B06CB8D">
      <w:pPr>
        <w:spacing w:after="120" w:line="324" w:lineRule="auto"/>
        <w:ind w:firstLine="420"/>
        <w:jc w:val="both"/>
        <w:rPr>
          <w:rFonts w:ascii="Times New Roman" w:hAnsi="Times New Roman" w:eastAsia="宋体"/>
        </w:rPr>
      </w:pPr>
      <w:r>
        <w:rPr>
          <w:rFonts w:ascii="Times New Roman" w:hAnsi="Times New Roman" w:eastAsia="宋体"/>
          <w:b w:val="0"/>
          <w:sz w:val="21"/>
        </w:rPr>
        <w:t>数据库发布时应同时提供数据规模说明、字段说明、数据来源说明、数据清洗说明和质量校验说明。对于分子数据，应说明其可用于分子表征、性质预测和相似性检索等任务，并明确当前分子数据不包含三维结构字段。对于化学反应数据，应说明其可用于产物预测、条件预测、逆合成分析、产率预测和反应表示学习等任务。对于谱图数据，应说明其可用于核磁谱图预测、谱图解析、分子结构确认和分子-谱图多模态对齐等任务。</w:t>
      </w:r>
    </w:p>
    <w:p w14:paraId="561A8030">
      <w:pPr>
        <w:spacing w:after="120" w:line="324" w:lineRule="auto"/>
        <w:ind w:firstLine="420"/>
        <w:jc w:val="both"/>
        <w:rPr>
          <w:rFonts w:ascii="Times New Roman" w:hAnsi="Times New Roman" w:eastAsia="宋体"/>
        </w:rPr>
      </w:pPr>
      <w:r>
        <w:rPr>
          <w:rFonts w:ascii="Times New Roman" w:hAnsi="Times New Roman" w:eastAsia="宋体"/>
          <w:b w:val="0"/>
          <w:sz w:val="21"/>
        </w:rPr>
        <w:t>在模型训练或平台调用过程中，应根据具体任务选择相应字段。例如，分子性质预测任务可使用 smiles、mol_wt、logp、tpsa、hbd 和 hba 字段；反应预测任务可使用反应物、试剂、产物和反应 SMILES 字段；谱图解析任务可使用分子结构字段、NMR 谱图字段和等价原子类别字段。</w:t>
      </w:r>
    </w:p>
    <w:p w14:paraId="1AD25E31">
      <w:pPr>
        <w:pStyle w:val="3"/>
        <w:spacing w:before="280" w:after="160"/>
        <w:jc w:val="both"/>
        <w:rPr>
          <w:rFonts w:ascii="Times New Roman" w:hAnsi="Times New Roman" w:eastAsia="宋体"/>
        </w:rPr>
      </w:pPr>
      <w:r>
        <w:rPr>
          <w:rFonts w:ascii="Times New Roman" w:hAnsi="Times New Roman" w:eastAsia="宋体"/>
          <w:b/>
          <w:color w:val="1F4E79"/>
          <w:sz w:val="32"/>
        </w:rPr>
        <w:t>十二、标准总结</w:t>
      </w:r>
    </w:p>
    <w:p w14:paraId="2D6C9A2A">
      <w:pPr>
        <w:spacing w:after="120" w:line="324" w:lineRule="auto"/>
        <w:ind w:firstLine="420"/>
        <w:jc w:val="both"/>
        <w:rPr>
          <w:rFonts w:ascii="Times New Roman" w:hAnsi="Times New Roman" w:eastAsia="宋体"/>
        </w:rPr>
      </w:pPr>
      <w:r>
        <w:rPr>
          <w:rFonts w:ascii="Times New Roman" w:hAnsi="Times New Roman" w:eastAsia="宋体"/>
          <w:b w:val="0"/>
          <w:sz w:val="21"/>
        </w:rPr>
        <w:t>本标准围绕 538,046,852 条多模态化学数据，建立了覆盖分子数据、化学反应数据和谱图数据的统一数据规范。标准从数据规模、字段定义、格式要求、模态关联、质量控制和指标评价等方面，对数据库的建设和使用进行了系统规定。</w:t>
      </w:r>
    </w:p>
    <w:p w14:paraId="3A1FCA52">
      <w:pPr>
        <w:spacing w:after="120" w:line="324" w:lineRule="auto"/>
        <w:ind w:firstLine="420"/>
        <w:jc w:val="both"/>
        <w:rPr>
          <w:rFonts w:ascii="Times New Roman" w:hAnsi="Times New Roman" w:eastAsia="宋体"/>
        </w:rPr>
      </w:pPr>
      <w:r>
        <w:rPr>
          <w:rFonts w:ascii="Times New Roman" w:hAnsi="Times New Roman" w:eastAsia="宋体"/>
          <w:b w:val="0"/>
          <w:sz w:val="21"/>
        </w:rPr>
        <w:t>通过该标准，可以保证数据库中的分子结构、分子理化性质、反应过程、反应条件、三维结构 token、产率标签和核磁谱图信息具有统一的组织方式和质量评价依据，为后续多模态化学大模型训练、智能体工具调用、分子设计、反应预测和谱图解析等任务提供可靠的数据基础。</w:t>
      </w:r>
    </w:p>
    <w:p w14:paraId="1488A1E1">
      <w:pPr>
        <w:pStyle w:val="3"/>
        <w:spacing w:before="280" w:after="160"/>
        <w:jc w:val="both"/>
        <w:rPr>
          <w:rFonts w:ascii="Times New Roman" w:hAnsi="Times New Roman" w:eastAsia="宋体"/>
        </w:rPr>
      </w:pPr>
      <w:r>
        <w:rPr>
          <w:rFonts w:ascii="Times New Roman" w:hAnsi="Times New Roman" w:eastAsia="宋体"/>
          <w:b/>
          <w:color w:val="1F4E79"/>
          <w:sz w:val="32"/>
        </w:rPr>
        <w:t>附录：核心字段清单</w:t>
      </w:r>
    </w:p>
    <w:p w14:paraId="71EB8702">
      <w:pPr>
        <w:pStyle w:val="4"/>
        <w:spacing w:before="200" w:after="120"/>
        <w:jc w:val="both"/>
        <w:rPr>
          <w:rFonts w:ascii="Times New Roman" w:hAnsi="Times New Roman" w:eastAsia="宋体"/>
        </w:rPr>
      </w:pPr>
      <w:r>
        <w:rPr>
          <w:rFonts w:ascii="Times New Roman" w:hAnsi="Times New Roman" w:eastAsia="宋体"/>
          <w:b/>
          <w:color w:val="2F5496"/>
          <w:sz w:val="27"/>
        </w:rPr>
        <w:t>A.1 分子数据字段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FB1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71868ECB">
            <w:pPr>
              <w:spacing w:after="0" w:line="276" w:lineRule="auto"/>
              <w:jc w:val="both"/>
              <w:rPr>
                <w:rFonts w:ascii="Times New Roman" w:hAnsi="Times New Roman" w:eastAsia="宋体"/>
              </w:rPr>
            </w:pPr>
            <w:r>
              <w:rPr>
                <w:rFonts w:ascii="Times New Roman" w:hAnsi="Times New Roman" w:eastAsia="宋体"/>
                <w:b/>
                <w:sz w:val="19"/>
              </w:rPr>
              <w:t>字段名称</w:t>
            </w:r>
          </w:p>
        </w:tc>
        <w:tc>
          <w:tcPr>
            <w:tcW w:w="3135" w:type="dxa"/>
            <w:shd w:val="clear" w:color="auto" w:fill="D9EAF7"/>
            <w:vAlign w:val="center"/>
          </w:tcPr>
          <w:p w14:paraId="447720B2">
            <w:pPr>
              <w:spacing w:after="0" w:line="276" w:lineRule="auto"/>
              <w:jc w:val="both"/>
              <w:rPr>
                <w:rFonts w:ascii="Times New Roman" w:hAnsi="Times New Roman" w:eastAsia="宋体"/>
              </w:rPr>
            </w:pPr>
            <w:r>
              <w:rPr>
                <w:rFonts w:ascii="Times New Roman" w:hAnsi="Times New Roman" w:eastAsia="宋体"/>
                <w:b/>
                <w:sz w:val="19"/>
              </w:rPr>
              <w:t>字段含义</w:t>
            </w:r>
          </w:p>
        </w:tc>
        <w:tc>
          <w:tcPr>
            <w:tcW w:w="3135" w:type="dxa"/>
            <w:shd w:val="clear" w:color="auto" w:fill="D9EAF7"/>
            <w:vAlign w:val="center"/>
          </w:tcPr>
          <w:p w14:paraId="4E735B35">
            <w:pPr>
              <w:spacing w:after="0" w:line="276" w:lineRule="auto"/>
              <w:jc w:val="both"/>
              <w:rPr>
                <w:rFonts w:ascii="Times New Roman" w:hAnsi="Times New Roman" w:eastAsia="宋体"/>
              </w:rPr>
            </w:pPr>
            <w:r>
              <w:rPr>
                <w:rFonts w:ascii="Times New Roman" w:hAnsi="Times New Roman" w:eastAsia="宋体"/>
                <w:b/>
                <w:sz w:val="19"/>
              </w:rPr>
              <w:t>主要用途</w:t>
            </w:r>
          </w:p>
        </w:tc>
      </w:tr>
      <w:tr w14:paraId="22CB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249CBC0">
            <w:pPr>
              <w:spacing w:after="0" w:line="276" w:lineRule="auto"/>
              <w:jc w:val="both"/>
              <w:rPr>
                <w:rFonts w:ascii="Times New Roman" w:hAnsi="Times New Roman" w:eastAsia="宋体"/>
              </w:rPr>
            </w:pPr>
            <w:r>
              <w:rPr>
                <w:rFonts w:ascii="Times New Roman" w:hAnsi="Times New Roman" w:eastAsia="宋体"/>
                <w:b w:val="0"/>
                <w:sz w:val="19"/>
              </w:rPr>
              <w:t>smiles</w:t>
            </w:r>
          </w:p>
        </w:tc>
        <w:tc>
          <w:tcPr>
            <w:tcW w:w="3135" w:type="dxa"/>
            <w:vAlign w:val="center"/>
          </w:tcPr>
          <w:p w14:paraId="468B5209">
            <w:pPr>
              <w:spacing w:after="0" w:line="276" w:lineRule="auto"/>
              <w:jc w:val="both"/>
              <w:rPr>
                <w:rFonts w:ascii="Times New Roman" w:hAnsi="Times New Roman" w:eastAsia="宋体"/>
              </w:rPr>
            </w:pPr>
            <w:r>
              <w:rPr>
                <w:rFonts w:ascii="Times New Roman" w:hAnsi="Times New Roman" w:eastAsia="宋体"/>
                <w:b w:val="0"/>
                <w:sz w:val="19"/>
              </w:rPr>
              <w:t>分子的 SMILES 线性结构表示</w:t>
            </w:r>
          </w:p>
        </w:tc>
        <w:tc>
          <w:tcPr>
            <w:tcW w:w="3135" w:type="dxa"/>
            <w:vAlign w:val="center"/>
          </w:tcPr>
          <w:p w14:paraId="54483EBB">
            <w:pPr>
              <w:spacing w:after="0" w:line="276" w:lineRule="auto"/>
              <w:jc w:val="both"/>
              <w:rPr>
                <w:rFonts w:ascii="Times New Roman" w:hAnsi="Times New Roman" w:eastAsia="宋体"/>
              </w:rPr>
            </w:pPr>
            <w:r>
              <w:rPr>
                <w:rFonts w:ascii="Times New Roman" w:hAnsi="Times New Roman" w:eastAsia="宋体"/>
                <w:b w:val="0"/>
                <w:sz w:val="19"/>
              </w:rPr>
              <w:t>分子结构建模、检索与相似性分析</w:t>
            </w:r>
          </w:p>
        </w:tc>
      </w:tr>
      <w:tr w14:paraId="1273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7D16A6D">
            <w:pPr>
              <w:spacing w:after="0" w:line="276" w:lineRule="auto"/>
              <w:jc w:val="both"/>
              <w:rPr>
                <w:rFonts w:ascii="Times New Roman" w:hAnsi="Times New Roman" w:eastAsia="宋体"/>
              </w:rPr>
            </w:pPr>
            <w:r>
              <w:rPr>
                <w:rFonts w:ascii="Times New Roman" w:hAnsi="Times New Roman" w:eastAsia="宋体"/>
                <w:b w:val="0"/>
                <w:sz w:val="19"/>
              </w:rPr>
              <w:t>mol_wt</w:t>
            </w:r>
          </w:p>
        </w:tc>
        <w:tc>
          <w:tcPr>
            <w:tcW w:w="3135" w:type="dxa"/>
            <w:vAlign w:val="center"/>
          </w:tcPr>
          <w:p w14:paraId="02E7E55E">
            <w:pPr>
              <w:spacing w:after="0" w:line="276" w:lineRule="auto"/>
              <w:jc w:val="both"/>
              <w:rPr>
                <w:rFonts w:ascii="Times New Roman" w:hAnsi="Times New Roman" w:eastAsia="宋体"/>
              </w:rPr>
            </w:pPr>
            <w:r>
              <w:rPr>
                <w:rFonts w:ascii="Times New Roman" w:hAnsi="Times New Roman" w:eastAsia="宋体"/>
                <w:b w:val="0"/>
                <w:sz w:val="19"/>
              </w:rPr>
              <w:t>分子量，通常以 g/mol 计</w:t>
            </w:r>
          </w:p>
        </w:tc>
        <w:tc>
          <w:tcPr>
            <w:tcW w:w="3135" w:type="dxa"/>
            <w:vAlign w:val="center"/>
          </w:tcPr>
          <w:p w14:paraId="415B0101">
            <w:pPr>
              <w:spacing w:after="0" w:line="276" w:lineRule="auto"/>
              <w:jc w:val="both"/>
              <w:rPr>
                <w:rFonts w:ascii="Times New Roman" w:hAnsi="Times New Roman" w:eastAsia="宋体"/>
              </w:rPr>
            </w:pPr>
            <w:r>
              <w:rPr>
                <w:rFonts w:ascii="Times New Roman" w:hAnsi="Times New Roman" w:eastAsia="宋体"/>
                <w:b w:val="0"/>
                <w:sz w:val="19"/>
              </w:rPr>
              <w:t>性质预测与分子筛选</w:t>
            </w:r>
          </w:p>
        </w:tc>
      </w:tr>
      <w:tr w14:paraId="6F24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4DD35CC">
            <w:pPr>
              <w:spacing w:after="0" w:line="276" w:lineRule="auto"/>
              <w:jc w:val="both"/>
              <w:rPr>
                <w:rFonts w:ascii="Times New Roman" w:hAnsi="Times New Roman" w:eastAsia="宋体"/>
              </w:rPr>
            </w:pPr>
            <w:r>
              <w:rPr>
                <w:rFonts w:ascii="Times New Roman" w:hAnsi="Times New Roman" w:eastAsia="宋体"/>
                <w:b w:val="0"/>
                <w:sz w:val="19"/>
              </w:rPr>
              <w:t>logp</w:t>
            </w:r>
          </w:p>
        </w:tc>
        <w:tc>
          <w:tcPr>
            <w:tcW w:w="3135" w:type="dxa"/>
            <w:vAlign w:val="center"/>
          </w:tcPr>
          <w:p w14:paraId="7E0D7E58">
            <w:pPr>
              <w:spacing w:after="0" w:line="276" w:lineRule="auto"/>
              <w:jc w:val="both"/>
              <w:rPr>
                <w:rFonts w:ascii="Times New Roman" w:hAnsi="Times New Roman" w:eastAsia="宋体"/>
              </w:rPr>
            </w:pPr>
            <w:r>
              <w:rPr>
                <w:rFonts w:ascii="Times New Roman" w:hAnsi="Times New Roman" w:eastAsia="宋体"/>
                <w:b w:val="0"/>
                <w:sz w:val="19"/>
              </w:rPr>
              <w:t>辛醇/水分配系数的对数</w:t>
            </w:r>
          </w:p>
        </w:tc>
        <w:tc>
          <w:tcPr>
            <w:tcW w:w="3135" w:type="dxa"/>
            <w:vAlign w:val="center"/>
          </w:tcPr>
          <w:p w14:paraId="18FEB61F">
            <w:pPr>
              <w:spacing w:after="0" w:line="276" w:lineRule="auto"/>
              <w:jc w:val="both"/>
              <w:rPr>
                <w:rFonts w:ascii="Times New Roman" w:hAnsi="Times New Roman" w:eastAsia="宋体"/>
              </w:rPr>
            </w:pPr>
            <w:r>
              <w:rPr>
                <w:rFonts w:ascii="Times New Roman" w:hAnsi="Times New Roman" w:eastAsia="宋体"/>
                <w:b w:val="0"/>
                <w:sz w:val="19"/>
              </w:rPr>
              <w:t>疏水性、脂溶性与溶解性分析</w:t>
            </w:r>
          </w:p>
        </w:tc>
      </w:tr>
      <w:tr w14:paraId="6977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D2B3546">
            <w:pPr>
              <w:spacing w:after="0" w:line="276" w:lineRule="auto"/>
              <w:jc w:val="both"/>
              <w:rPr>
                <w:rFonts w:ascii="Times New Roman" w:hAnsi="Times New Roman" w:eastAsia="宋体"/>
              </w:rPr>
            </w:pPr>
            <w:r>
              <w:rPr>
                <w:rFonts w:ascii="Times New Roman" w:hAnsi="Times New Roman" w:eastAsia="宋体"/>
                <w:b w:val="0"/>
                <w:sz w:val="19"/>
              </w:rPr>
              <w:t>tpsa</w:t>
            </w:r>
          </w:p>
        </w:tc>
        <w:tc>
          <w:tcPr>
            <w:tcW w:w="3135" w:type="dxa"/>
            <w:vAlign w:val="center"/>
          </w:tcPr>
          <w:p w14:paraId="4851A653">
            <w:pPr>
              <w:spacing w:after="0" w:line="276" w:lineRule="auto"/>
              <w:jc w:val="both"/>
              <w:rPr>
                <w:rFonts w:ascii="Times New Roman" w:hAnsi="Times New Roman" w:eastAsia="宋体"/>
              </w:rPr>
            </w:pPr>
            <w:r>
              <w:rPr>
                <w:rFonts w:ascii="Times New Roman" w:hAnsi="Times New Roman" w:eastAsia="宋体"/>
                <w:b w:val="0"/>
                <w:sz w:val="19"/>
              </w:rPr>
              <w:t>拓扑极性表面积</w:t>
            </w:r>
          </w:p>
        </w:tc>
        <w:tc>
          <w:tcPr>
            <w:tcW w:w="3135" w:type="dxa"/>
            <w:vAlign w:val="center"/>
          </w:tcPr>
          <w:p w14:paraId="63646B47">
            <w:pPr>
              <w:spacing w:after="0" w:line="276" w:lineRule="auto"/>
              <w:jc w:val="both"/>
              <w:rPr>
                <w:rFonts w:ascii="Times New Roman" w:hAnsi="Times New Roman" w:eastAsia="宋体"/>
              </w:rPr>
            </w:pPr>
            <w:r>
              <w:rPr>
                <w:rFonts w:ascii="Times New Roman" w:hAnsi="Times New Roman" w:eastAsia="宋体"/>
                <w:b w:val="0"/>
                <w:sz w:val="19"/>
              </w:rPr>
              <w:t>极性、渗透性与相互作用分析</w:t>
            </w:r>
          </w:p>
        </w:tc>
      </w:tr>
      <w:tr w14:paraId="1064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00C373">
            <w:pPr>
              <w:spacing w:after="0" w:line="276" w:lineRule="auto"/>
              <w:jc w:val="both"/>
              <w:rPr>
                <w:rFonts w:ascii="Times New Roman" w:hAnsi="Times New Roman" w:eastAsia="宋体"/>
              </w:rPr>
            </w:pPr>
            <w:r>
              <w:rPr>
                <w:rFonts w:ascii="Times New Roman" w:hAnsi="Times New Roman" w:eastAsia="宋体"/>
                <w:b w:val="0"/>
                <w:sz w:val="19"/>
              </w:rPr>
              <w:t>hbd</w:t>
            </w:r>
          </w:p>
        </w:tc>
        <w:tc>
          <w:tcPr>
            <w:tcW w:w="3135" w:type="dxa"/>
            <w:vAlign w:val="center"/>
          </w:tcPr>
          <w:p w14:paraId="341BD18D">
            <w:pPr>
              <w:spacing w:after="0" w:line="276" w:lineRule="auto"/>
              <w:jc w:val="both"/>
              <w:rPr>
                <w:rFonts w:ascii="Times New Roman" w:hAnsi="Times New Roman" w:eastAsia="宋体"/>
              </w:rPr>
            </w:pPr>
            <w:r>
              <w:rPr>
                <w:rFonts w:ascii="Times New Roman" w:hAnsi="Times New Roman" w:eastAsia="宋体"/>
                <w:b w:val="0"/>
                <w:sz w:val="19"/>
              </w:rPr>
              <w:t>氢键供体数量</w:t>
            </w:r>
          </w:p>
        </w:tc>
        <w:tc>
          <w:tcPr>
            <w:tcW w:w="3135" w:type="dxa"/>
            <w:vAlign w:val="center"/>
          </w:tcPr>
          <w:p w14:paraId="1D074F32">
            <w:pPr>
              <w:spacing w:after="0" w:line="276" w:lineRule="auto"/>
              <w:jc w:val="both"/>
              <w:rPr>
                <w:rFonts w:ascii="Times New Roman" w:hAnsi="Times New Roman" w:eastAsia="宋体"/>
              </w:rPr>
            </w:pPr>
            <w:r>
              <w:rPr>
                <w:rFonts w:ascii="Times New Roman" w:hAnsi="Times New Roman" w:eastAsia="宋体"/>
                <w:b w:val="0"/>
                <w:sz w:val="19"/>
              </w:rPr>
              <w:t>分子相互作用与性质建模</w:t>
            </w:r>
          </w:p>
        </w:tc>
      </w:tr>
      <w:tr w14:paraId="43CA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BCD1F93">
            <w:pPr>
              <w:spacing w:after="0" w:line="276" w:lineRule="auto"/>
              <w:jc w:val="both"/>
              <w:rPr>
                <w:rFonts w:ascii="Times New Roman" w:hAnsi="Times New Roman" w:eastAsia="宋体"/>
              </w:rPr>
            </w:pPr>
            <w:r>
              <w:rPr>
                <w:rFonts w:ascii="Times New Roman" w:hAnsi="Times New Roman" w:eastAsia="宋体"/>
                <w:b w:val="0"/>
                <w:sz w:val="19"/>
              </w:rPr>
              <w:t>hba</w:t>
            </w:r>
          </w:p>
        </w:tc>
        <w:tc>
          <w:tcPr>
            <w:tcW w:w="3135" w:type="dxa"/>
            <w:vAlign w:val="center"/>
          </w:tcPr>
          <w:p w14:paraId="3D9C71A8">
            <w:pPr>
              <w:spacing w:after="0" w:line="276" w:lineRule="auto"/>
              <w:jc w:val="both"/>
              <w:rPr>
                <w:rFonts w:ascii="Times New Roman" w:hAnsi="Times New Roman" w:eastAsia="宋体"/>
              </w:rPr>
            </w:pPr>
            <w:r>
              <w:rPr>
                <w:rFonts w:ascii="Times New Roman" w:hAnsi="Times New Roman" w:eastAsia="宋体"/>
                <w:b w:val="0"/>
                <w:sz w:val="19"/>
              </w:rPr>
              <w:t>氢键受体数量</w:t>
            </w:r>
          </w:p>
        </w:tc>
        <w:tc>
          <w:tcPr>
            <w:tcW w:w="3135" w:type="dxa"/>
            <w:vAlign w:val="center"/>
          </w:tcPr>
          <w:p w14:paraId="5B877516">
            <w:pPr>
              <w:spacing w:after="0" w:line="276" w:lineRule="auto"/>
              <w:jc w:val="both"/>
              <w:rPr>
                <w:rFonts w:ascii="Times New Roman" w:hAnsi="Times New Roman" w:eastAsia="宋体"/>
              </w:rPr>
            </w:pPr>
            <w:r>
              <w:rPr>
                <w:rFonts w:ascii="Times New Roman" w:hAnsi="Times New Roman" w:eastAsia="宋体"/>
                <w:b w:val="0"/>
                <w:sz w:val="19"/>
              </w:rPr>
              <w:t>氢键、极性特征与性质建模</w:t>
            </w:r>
          </w:p>
        </w:tc>
      </w:tr>
    </w:tbl>
    <w:p w14:paraId="46293E8C">
      <w:pPr>
        <w:jc w:val="both"/>
        <w:rPr>
          <w:rFonts w:ascii="Times New Roman" w:hAnsi="Times New Roman" w:eastAsia="宋体"/>
        </w:rPr>
      </w:pPr>
    </w:p>
    <w:p w14:paraId="7DEC204D">
      <w:pPr>
        <w:pStyle w:val="4"/>
        <w:spacing w:before="200" w:after="120"/>
        <w:jc w:val="both"/>
        <w:rPr>
          <w:rFonts w:ascii="Times New Roman" w:hAnsi="Times New Roman" w:eastAsia="宋体"/>
        </w:rPr>
      </w:pPr>
      <w:r>
        <w:rPr>
          <w:rFonts w:ascii="Times New Roman" w:hAnsi="Times New Roman" w:eastAsia="宋体"/>
          <w:b/>
          <w:color w:val="2F5496"/>
          <w:sz w:val="27"/>
        </w:rPr>
        <w:t>A.2 化学反应数据字段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325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1C74B2DB">
            <w:pPr>
              <w:spacing w:after="0" w:line="276" w:lineRule="auto"/>
              <w:jc w:val="both"/>
              <w:rPr>
                <w:rFonts w:ascii="Times New Roman" w:hAnsi="Times New Roman" w:eastAsia="宋体"/>
              </w:rPr>
            </w:pPr>
            <w:r>
              <w:rPr>
                <w:rFonts w:ascii="Times New Roman" w:hAnsi="Times New Roman" w:eastAsia="宋体"/>
                <w:b/>
                <w:sz w:val="19"/>
              </w:rPr>
              <w:t>字段名称</w:t>
            </w:r>
          </w:p>
        </w:tc>
        <w:tc>
          <w:tcPr>
            <w:tcW w:w="3135" w:type="dxa"/>
            <w:shd w:val="clear" w:color="auto" w:fill="D9EAF7"/>
            <w:vAlign w:val="center"/>
          </w:tcPr>
          <w:p w14:paraId="06EE6425">
            <w:pPr>
              <w:spacing w:after="0" w:line="276" w:lineRule="auto"/>
              <w:jc w:val="both"/>
              <w:rPr>
                <w:rFonts w:ascii="Times New Roman" w:hAnsi="Times New Roman" w:eastAsia="宋体"/>
              </w:rPr>
            </w:pPr>
            <w:r>
              <w:rPr>
                <w:rFonts w:ascii="Times New Roman" w:hAnsi="Times New Roman" w:eastAsia="宋体"/>
                <w:b/>
                <w:sz w:val="19"/>
              </w:rPr>
              <w:t>字段含义</w:t>
            </w:r>
          </w:p>
        </w:tc>
        <w:tc>
          <w:tcPr>
            <w:tcW w:w="3135" w:type="dxa"/>
            <w:shd w:val="clear" w:color="auto" w:fill="D9EAF7"/>
            <w:vAlign w:val="center"/>
          </w:tcPr>
          <w:p w14:paraId="7750210B">
            <w:pPr>
              <w:spacing w:after="0" w:line="276" w:lineRule="auto"/>
              <w:jc w:val="both"/>
              <w:rPr>
                <w:rFonts w:ascii="Times New Roman" w:hAnsi="Times New Roman" w:eastAsia="宋体"/>
              </w:rPr>
            </w:pPr>
            <w:r>
              <w:rPr>
                <w:rFonts w:ascii="Times New Roman" w:hAnsi="Times New Roman" w:eastAsia="宋体"/>
                <w:b/>
                <w:sz w:val="19"/>
              </w:rPr>
              <w:t>主要用途</w:t>
            </w:r>
          </w:p>
        </w:tc>
      </w:tr>
      <w:tr w14:paraId="1F8F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A3CC36D">
            <w:pPr>
              <w:spacing w:after="0" w:line="276" w:lineRule="auto"/>
              <w:jc w:val="both"/>
              <w:rPr>
                <w:rFonts w:ascii="Times New Roman" w:hAnsi="Times New Roman" w:eastAsia="宋体"/>
              </w:rPr>
            </w:pPr>
            <w:r>
              <w:rPr>
                <w:rFonts w:ascii="Times New Roman" w:hAnsi="Times New Roman" w:eastAsia="宋体"/>
                <w:b w:val="0"/>
                <w:sz w:val="19"/>
              </w:rPr>
              <w:t>dataset</w:t>
            </w:r>
          </w:p>
        </w:tc>
        <w:tc>
          <w:tcPr>
            <w:tcW w:w="3135" w:type="dxa"/>
            <w:vAlign w:val="center"/>
          </w:tcPr>
          <w:p w14:paraId="041BBF12">
            <w:pPr>
              <w:spacing w:after="0" w:line="276" w:lineRule="auto"/>
              <w:jc w:val="both"/>
              <w:rPr>
                <w:rFonts w:ascii="Times New Roman" w:hAnsi="Times New Roman" w:eastAsia="宋体"/>
              </w:rPr>
            </w:pPr>
            <w:r>
              <w:rPr>
                <w:rFonts w:ascii="Times New Roman" w:hAnsi="Times New Roman" w:eastAsia="宋体"/>
                <w:b w:val="0"/>
                <w:sz w:val="19"/>
              </w:rPr>
              <w:t>数据集名称或来源</w:t>
            </w:r>
          </w:p>
        </w:tc>
        <w:tc>
          <w:tcPr>
            <w:tcW w:w="3135" w:type="dxa"/>
            <w:vAlign w:val="center"/>
          </w:tcPr>
          <w:p w14:paraId="75776ACD">
            <w:pPr>
              <w:spacing w:after="0" w:line="276" w:lineRule="auto"/>
              <w:jc w:val="both"/>
              <w:rPr>
                <w:rFonts w:ascii="Times New Roman" w:hAnsi="Times New Roman" w:eastAsia="宋体"/>
              </w:rPr>
            </w:pPr>
            <w:r>
              <w:rPr>
                <w:rFonts w:ascii="Times New Roman" w:hAnsi="Times New Roman" w:eastAsia="宋体"/>
                <w:b w:val="0"/>
                <w:sz w:val="19"/>
              </w:rPr>
              <w:t>数据追溯、任务划分与来源区分</w:t>
            </w:r>
          </w:p>
        </w:tc>
      </w:tr>
      <w:tr w14:paraId="33A9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D44A360">
            <w:pPr>
              <w:spacing w:after="0" w:line="276" w:lineRule="auto"/>
              <w:jc w:val="both"/>
              <w:rPr>
                <w:rFonts w:ascii="Times New Roman" w:hAnsi="Times New Roman" w:eastAsia="宋体"/>
              </w:rPr>
            </w:pPr>
            <w:r>
              <w:rPr>
                <w:rFonts w:ascii="Times New Roman" w:hAnsi="Times New Roman" w:eastAsia="宋体"/>
                <w:b w:val="0"/>
                <w:sz w:val="19"/>
              </w:rPr>
              <w:t>reactant_1d_smiles</w:t>
            </w:r>
          </w:p>
        </w:tc>
        <w:tc>
          <w:tcPr>
            <w:tcW w:w="3135" w:type="dxa"/>
            <w:vAlign w:val="center"/>
          </w:tcPr>
          <w:p w14:paraId="6C10D654">
            <w:pPr>
              <w:spacing w:after="0" w:line="276" w:lineRule="auto"/>
              <w:jc w:val="both"/>
              <w:rPr>
                <w:rFonts w:ascii="Times New Roman" w:hAnsi="Times New Roman" w:eastAsia="宋体"/>
              </w:rPr>
            </w:pPr>
            <w:r>
              <w:rPr>
                <w:rFonts w:ascii="Times New Roman" w:hAnsi="Times New Roman" w:eastAsia="宋体"/>
                <w:b w:val="0"/>
                <w:sz w:val="19"/>
              </w:rPr>
              <w:t>反应物一维 SMILES</w:t>
            </w:r>
          </w:p>
        </w:tc>
        <w:tc>
          <w:tcPr>
            <w:tcW w:w="3135" w:type="dxa"/>
            <w:vAlign w:val="center"/>
          </w:tcPr>
          <w:p w14:paraId="7E9B7A05">
            <w:pPr>
              <w:spacing w:after="0" w:line="276" w:lineRule="auto"/>
              <w:jc w:val="both"/>
              <w:rPr>
                <w:rFonts w:ascii="Times New Roman" w:hAnsi="Times New Roman" w:eastAsia="宋体"/>
              </w:rPr>
            </w:pPr>
            <w:r>
              <w:rPr>
                <w:rFonts w:ascii="Times New Roman" w:hAnsi="Times New Roman" w:eastAsia="宋体"/>
                <w:b w:val="0"/>
                <w:sz w:val="19"/>
              </w:rPr>
              <w:t>反应物结构输入</w:t>
            </w:r>
          </w:p>
        </w:tc>
      </w:tr>
      <w:tr w14:paraId="736A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0987786">
            <w:pPr>
              <w:spacing w:after="0" w:line="276" w:lineRule="auto"/>
              <w:jc w:val="both"/>
              <w:rPr>
                <w:rFonts w:ascii="Times New Roman" w:hAnsi="Times New Roman" w:eastAsia="宋体"/>
              </w:rPr>
            </w:pPr>
            <w:r>
              <w:rPr>
                <w:rFonts w:ascii="Times New Roman" w:hAnsi="Times New Roman" w:eastAsia="宋体"/>
                <w:b w:val="0"/>
                <w:sz w:val="19"/>
              </w:rPr>
              <w:t>reactant_3d_smiles</w:t>
            </w:r>
          </w:p>
        </w:tc>
        <w:tc>
          <w:tcPr>
            <w:tcW w:w="3135" w:type="dxa"/>
            <w:vAlign w:val="center"/>
          </w:tcPr>
          <w:p w14:paraId="50C3E9F0">
            <w:pPr>
              <w:spacing w:after="0" w:line="276" w:lineRule="auto"/>
              <w:jc w:val="both"/>
              <w:rPr>
                <w:rFonts w:ascii="Times New Roman" w:hAnsi="Times New Roman" w:eastAsia="宋体"/>
              </w:rPr>
            </w:pPr>
            <w:r>
              <w:rPr>
                <w:rFonts w:ascii="Times New Roman" w:hAnsi="Times New Roman" w:eastAsia="宋体"/>
                <w:b w:val="0"/>
                <w:sz w:val="19"/>
              </w:rPr>
              <w:t>反应物三维结构 token</w:t>
            </w:r>
          </w:p>
        </w:tc>
        <w:tc>
          <w:tcPr>
            <w:tcW w:w="3135" w:type="dxa"/>
            <w:vAlign w:val="center"/>
          </w:tcPr>
          <w:p w14:paraId="720CE5F9">
            <w:pPr>
              <w:spacing w:after="0" w:line="276" w:lineRule="auto"/>
              <w:jc w:val="both"/>
              <w:rPr>
                <w:rFonts w:ascii="Times New Roman" w:hAnsi="Times New Roman" w:eastAsia="宋体"/>
              </w:rPr>
            </w:pPr>
            <w:r>
              <w:rPr>
                <w:rFonts w:ascii="Times New Roman" w:hAnsi="Times New Roman" w:eastAsia="宋体"/>
                <w:b w:val="0"/>
                <w:sz w:val="19"/>
              </w:rPr>
              <w:t>反应物空间构象输入</w:t>
            </w:r>
          </w:p>
        </w:tc>
      </w:tr>
      <w:tr w14:paraId="5DA0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0764779">
            <w:pPr>
              <w:spacing w:after="0" w:line="276" w:lineRule="auto"/>
              <w:jc w:val="both"/>
              <w:rPr>
                <w:rFonts w:ascii="Times New Roman" w:hAnsi="Times New Roman" w:eastAsia="宋体"/>
              </w:rPr>
            </w:pPr>
            <w:r>
              <w:rPr>
                <w:rFonts w:ascii="Times New Roman" w:hAnsi="Times New Roman" w:eastAsia="宋体"/>
                <w:b w:val="0"/>
                <w:sz w:val="19"/>
              </w:rPr>
              <w:t>reagent_1d_smiles</w:t>
            </w:r>
          </w:p>
        </w:tc>
        <w:tc>
          <w:tcPr>
            <w:tcW w:w="3135" w:type="dxa"/>
            <w:vAlign w:val="center"/>
          </w:tcPr>
          <w:p w14:paraId="31755DA1">
            <w:pPr>
              <w:spacing w:after="0" w:line="276" w:lineRule="auto"/>
              <w:jc w:val="both"/>
              <w:rPr>
                <w:rFonts w:ascii="Times New Roman" w:hAnsi="Times New Roman" w:eastAsia="宋体"/>
              </w:rPr>
            </w:pPr>
            <w:r>
              <w:rPr>
                <w:rFonts w:ascii="Times New Roman" w:hAnsi="Times New Roman" w:eastAsia="宋体"/>
                <w:b w:val="0"/>
                <w:sz w:val="19"/>
              </w:rPr>
              <w:t>试剂、溶剂、催化剂、碱等一维 SMILES</w:t>
            </w:r>
          </w:p>
        </w:tc>
        <w:tc>
          <w:tcPr>
            <w:tcW w:w="3135" w:type="dxa"/>
            <w:vAlign w:val="center"/>
          </w:tcPr>
          <w:p w14:paraId="4DA6F9ED">
            <w:pPr>
              <w:spacing w:after="0" w:line="276" w:lineRule="auto"/>
              <w:jc w:val="both"/>
              <w:rPr>
                <w:rFonts w:ascii="Times New Roman" w:hAnsi="Times New Roman" w:eastAsia="宋体"/>
              </w:rPr>
            </w:pPr>
            <w:r>
              <w:rPr>
                <w:rFonts w:ascii="Times New Roman" w:hAnsi="Times New Roman" w:eastAsia="宋体"/>
                <w:b w:val="0"/>
                <w:sz w:val="19"/>
              </w:rPr>
              <w:t>反应条件建模</w:t>
            </w:r>
          </w:p>
        </w:tc>
      </w:tr>
      <w:tr w14:paraId="59DB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74D1892">
            <w:pPr>
              <w:spacing w:after="0" w:line="276" w:lineRule="auto"/>
              <w:jc w:val="both"/>
              <w:rPr>
                <w:rFonts w:ascii="Times New Roman" w:hAnsi="Times New Roman" w:eastAsia="宋体"/>
              </w:rPr>
            </w:pPr>
            <w:r>
              <w:rPr>
                <w:rFonts w:ascii="Times New Roman" w:hAnsi="Times New Roman" w:eastAsia="宋体"/>
                <w:b w:val="0"/>
                <w:sz w:val="19"/>
              </w:rPr>
              <w:t>reagent_3d_smiles</w:t>
            </w:r>
          </w:p>
        </w:tc>
        <w:tc>
          <w:tcPr>
            <w:tcW w:w="3135" w:type="dxa"/>
            <w:vAlign w:val="center"/>
          </w:tcPr>
          <w:p w14:paraId="7A0BE2C6">
            <w:pPr>
              <w:spacing w:after="0" w:line="276" w:lineRule="auto"/>
              <w:jc w:val="both"/>
              <w:rPr>
                <w:rFonts w:ascii="Times New Roman" w:hAnsi="Times New Roman" w:eastAsia="宋体"/>
              </w:rPr>
            </w:pPr>
            <w:r>
              <w:rPr>
                <w:rFonts w:ascii="Times New Roman" w:hAnsi="Times New Roman" w:eastAsia="宋体"/>
                <w:b w:val="0"/>
                <w:sz w:val="19"/>
              </w:rPr>
              <w:t>试剂或条件分子的三维结构 token</w:t>
            </w:r>
          </w:p>
        </w:tc>
        <w:tc>
          <w:tcPr>
            <w:tcW w:w="3135" w:type="dxa"/>
            <w:vAlign w:val="center"/>
          </w:tcPr>
          <w:p w14:paraId="123BD2CC">
            <w:pPr>
              <w:spacing w:after="0" w:line="276" w:lineRule="auto"/>
              <w:jc w:val="both"/>
              <w:rPr>
                <w:rFonts w:ascii="Times New Roman" w:hAnsi="Times New Roman" w:eastAsia="宋体"/>
              </w:rPr>
            </w:pPr>
            <w:r>
              <w:rPr>
                <w:rFonts w:ascii="Times New Roman" w:hAnsi="Times New Roman" w:eastAsia="宋体"/>
                <w:b w:val="0"/>
                <w:sz w:val="19"/>
              </w:rPr>
              <w:t>条件分子空间结构建模</w:t>
            </w:r>
          </w:p>
        </w:tc>
      </w:tr>
      <w:tr w14:paraId="5C67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63B0C6B">
            <w:pPr>
              <w:spacing w:after="0" w:line="276" w:lineRule="auto"/>
              <w:jc w:val="both"/>
              <w:rPr>
                <w:rFonts w:ascii="Times New Roman" w:hAnsi="Times New Roman" w:eastAsia="宋体"/>
              </w:rPr>
            </w:pPr>
            <w:r>
              <w:rPr>
                <w:rFonts w:ascii="Times New Roman" w:hAnsi="Times New Roman" w:eastAsia="宋体"/>
                <w:b w:val="0"/>
                <w:sz w:val="19"/>
              </w:rPr>
              <w:t>product_1d_smiles</w:t>
            </w:r>
          </w:p>
        </w:tc>
        <w:tc>
          <w:tcPr>
            <w:tcW w:w="3135" w:type="dxa"/>
            <w:vAlign w:val="center"/>
          </w:tcPr>
          <w:p w14:paraId="7F5CDE66">
            <w:pPr>
              <w:spacing w:after="0" w:line="276" w:lineRule="auto"/>
              <w:jc w:val="both"/>
              <w:rPr>
                <w:rFonts w:ascii="Times New Roman" w:hAnsi="Times New Roman" w:eastAsia="宋体"/>
              </w:rPr>
            </w:pPr>
            <w:r>
              <w:rPr>
                <w:rFonts w:ascii="Times New Roman" w:hAnsi="Times New Roman" w:eastAsia="宋体"/>
                <w:b w:val="0"/>
                <w:sz w:val="19"/>
              </w:rPr>
              <w:t>产物一维 SMILES</w:t>
            </w:r>
          </w:p>
        </w:tc>
        <w:tc>
          <w:tcPr>
            <w:tcW w:w="3135" w:type="dxa"/>
            <w:vAlign w:val="center"/>
          </w:tcPr>
          <w:p w14:paraId="786F7FEE">
            <w:pPr>
              <w:spacing w:after="0" w:line="276" w:lineRule="auto"/>
              <w:jc w:val="both"/>
              <w:rPr>
                <w:rFonts w:ascii="Times New Roman" w:hAnsi="Times New Roman" w:eastAsia="宋体"/>
              </w:rPr>
            </w:pPr>
            <w:r>
              <w:rPr>
                <w:rFonts w:ascii="Times New Roman" w:hAnsi="Times New Roman" w:eastAsia="宋体"/>
                <w:b w:val="0"/>
                <w:sz w:val="19"/>
              </w:rPr>
              <w:t>产物预测与结构表示</w:t>
            </w:r>
          </w:p>
        </w:tc>
      </w:tr>
      <w:tr w14:paraId="228D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03B5738">
            <w:pPr>
              <w:spacing w:after="0" w:line="276" w:lineRule="auto"/>
              <w:jc w:val="both"/>
              <w:rPr>
                <w:rFonts w:ascii="Times New Roman" w:hAnsi="Times New Roman" w:eastAsia="宋体"/>
              </w:rPr>
            </w:pPr>
            <w:r>
              <w:rPr>
                <w:rFonts w:ascii="Times New Roman" w:hAnsi="Times New Roman" w:eastAsia="宋体"/>
                <w:b w:val="0"/>
                <w:sz w:val="19"/>
              </w:rPr>
              <w:t>product_3d_smiles</w:t>
            </w:r>
          </w:p>
        </w:tc>
        <w:tc>
          <w:tcPr>
            <w:tcW w:w="3135" w:type="dxa"/>
            <w:vAlign w:val="center"/>
          </w:tcPr>
          <w:p w14:paraId="11D1DB94">
            <w:pPr>
              <w:spacing w:after="0" w:line="276" w:lineRule="auto"/>
              <w:jc w:val="both"/>
              <w:rPr>
                <w:rFonts w:ascii="Times New Roman" w:hAnsi="Times New Roman" w:eastAsia="宋体"/>
              </w:rPr>
            </w:pPr>
            <w:r>
              <w:rPr>
                <w:rFonts w:ascii="Times New Roman" w:hAnsi="Times New Roman" w:eastAsia="宋体"/>
                <w:b w:val="0"/>
                <w:sz w:val="19"/>
              </w:rPr>
              <w:t>产物三维结构 token</w:t>
            </w:r>
          </w:p>
        </w:tc>
        <w:tc>
          <w:tcPr>
            <w:tcW w:w="3135" w:type="dxa"/>
            <w:vAlign w:val="center"/>
          </w:tcPr>
          <w:p w14:paraId="2BEAC370">
            <w:pPr>
              <w:spacing w:after="0" w:line="276" w:lineRule="auto"/>
              <w:jc w:val="both"/>
              <w:rPr>
                <w:rFonts w:ascii="Times New Roman" w:hAnsi="Times New Roman" w:eastAsia="宋体"/>
              </w:rPr>
            </w:pPr>
            <w:r>
              <w:rPr>
                <w:rFonts w:ascii="Times New Roman" w:hAnsi="Times New Roman" w:eastAsia="宋体"/>
                <w:b w:val="0"/>
                <w:sz w:val="19"/>
              </w:rPr>
              <w:t>产物空间构象建模</w:t>
            </w:r>
          </w:p>
        </w:tc>
      </w:tr>
      <w:tr w14:paraId="6A90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E01B93">
            <w:pPr>
              <w:spacing w:after="0" w:line="276" w:lineRule="auto"/>
              <w:jc w:val="both"/>
              <w:rPr>
                <w:rFonts w:ascii="Times New Roman" w:hAnsi="Times New Roman" w:eastAsia="宋体"/>
              </w:rPr>
            </w:pPr>
            <w:r>
              <w:rPr>
                <w:rFonts w:ascii="Times New Roman" w:hAnsi="Times New Roman" w:eastAsia="宋体"/>
                <w:b w:val="0"/>
                <w:sz w:val="19"/>
              </w:rPr>
              <w:t>reaction_smiles</w:t>
            </w:r>
          </w:p>
        </w:tc>
        <w:tc>
          <w:tcPr>
            <w:tcW w:w="3135" w:type="dxa"/>
            <w:vAlign w:val="center"/>
          </w:tcPr>
          <w:p w14:paraId="20A44151">
            <w:pPr>
              <w:spacing w:after="0" w:line="276" w:lineRule="auto"/>
              <w:jc w:val="both"/>
              <w:rPr>
                <w:rFonts w:ascii="Times New Roman" w:hAnsi="Times New Roman" w:eastAsia="宋体"/>
              </w:rPr>
            </w:pPr>
            <w:r>
              <w:rPr>
                <w:rFonts w:ascii="Times New Roman" w:hAnsi="Times New Roman" w:eastAsia="宋体"/>
                <w:b w:val="0"/>
                <w:sz w:val="19"/>
              </w:rPr>
              <w:t>完整反应 SMILES</w:t>
            </w:r>
          </w:p>
        </w:tc>
        <w:tc>
          <w:tcPr>
            <w:tcW w:w="3135" w:type="dxa"/>
            <w:vAlign w:val="center"/>
          </w:tcPr>
          <w:p w14:paraId="4D5C841B">
            <w:pPr>
              <w:spacing w:after="0" w:line="276" w:lineRule="auto"/>
              <w:jc w:val="both"/>
              <w:rPr>
                <w:rFonts w:ascii="Times New Roman" w:hAnsi="Times New Roman" w:eastAsia="宋体"/>
              </w:rPr>
            </w:pPr>
            <w:r>
              <w:rPr>
                <w:rFonts w:ascii="Times New Roman" w:hAnsi="Times New Roman" w:eastAsia="宋体"/>
                <w:b w:val="0"/>
                <w:sz w:val="19"/>
              </w:rPr>
              <w:t>反应级别统一表示</w:t>
            </w:r>
          </w:p>
        </w:tc>
      </w:tr>
      <w:tr w14:paraId="7561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CC6FE4C">
            <w:pPr>
              <w:spacing w:after="0" w:line="276" w:lineRule="auto"/>
              <w:jc w:val="both"/>
              <w:rPr>
                <w:rFonts w:ascii="Times New Roman" w:hAnsi="Times New Roman" w:eastAsia="宋体"/>
              </w:rPr>
            </w:pPr>
            <w:r>
              <w:rPr>
                <w:rFonts w:ascii="Times New Roman" w:hAnsi="Times New Roman" w:eastAsia="宋体"/>
                <w:b w:val="0"/>
                <w:sz w:val="19"/>
              </w:rPr>
              <w:t>yield / target</w:t>
            </w:r>
          </w:p>
        </w:tc>
        <w:tc>
          <w:tcPr>
            <w:tcW w:w="3135" w:type="dxa"/>
            <w:vAlign w:val="center"/>
          </w:tcPr>
          <w:p w14:paraId="3A99772F">
            <w:pPr>
              <w:spacing w:after="0" w:line="276" w:lineRule="auto"/>
              <w:jc w:val="both"/>
              <w:rPr>
                <w:rFonts w:ascii="Times New Roman" w:hAnsi="Times New Roman" w:eastAsia="宋体"/>
              </w:rPr>
            </w:pPr>
            <w:r>
              <w:rPr>
                <w:rFonts w:ascii="Times New Roman" w:hAnsi="Times New Roman" w:eastAsia="宋体"/>
                <w:b w:val="0"/>
                <w:sz w:val="19"/>
              </w:rPr>
              <w:t>反应产率或模型预测目标</w:t>
            </w:r>
          </w:p>
        </w:tc>
        <w:tc>
          <w:tcPr>
            <w:tcW w:w="3135" w:type="dxa"/>
            <w:vAlign w:val="center"/>
          </w:tcPr>
          <w:p w14:paraId="6BC1B284">
            <w:pPr>
              <w:spacing w:after="0" w:line="276" w:lineRule="auto"/>
              <w:jc w:val="both"/>
              <w:rPr>
                <w:rFonts w:ascii="Times New Roman" w:hAnsi="Times New Roman" w:eastAsia="宋体"/>
              </w:rPr>
            </w:pPr>
            <w:r>
              <w:rPr>
                <w:rFonts w:ascii="Times New Roman" w:hAnsi="Times New Roman" w:eastAsia="宋体"/>
                <w:b w:val="0"/>
                <w:sz w:val="19"/>
              </w:rPr>
              <w:t>产率预测与监督学习标签</w:t>
            </w:r>
          </w:p>
        </w:tc>
      </w:tr>
    </w:tbl>
    <w:p w14:paraId="5520A4BC">
      <w:pPr>
        <w:jc w:val="both"/>
        <w:rPr>
          <w:rFonts w:ascii="Times New Roman" w:hAnsi="Times New Roman" w:eastAsia="宋体"/>
        </w:rPr>
      </w:pPr>
    </w:p>
    <w:p w14:paraId="0DE11C3B">
      <w:pPr>
        <w:pStyle w:val="4"/>
        <w:spacing w:before="200" w:after="120"/>
        <w:jc w:val="both"/>
        <w:rPr>
          <w:rFonts w:ascii="Times New Roman" w:hAnsi="Times New Roman" w:eastAsia="宋体"/>
        </w:rPr>
      </w:pPr>
      <w:r>
        <w:rPr>
          <w:rFonts w:ascii="Times New Roman" w:hAnsi="Times New Roman" w:eastAsia="宋体"/>
          <w:b/>
          <w:color w:val="2F5496"/>
          <w:sz w:val="27"/>
        </w:rPr>
        <w:t>A.3 谱图数据字段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CCE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AF7"/>
            <w:vAlign w:val="center"/>
          </w:tcPr>
          <w:p w14:paraId="77ABFBB6">
            <w:pPr>
              <w:spacing w:after="0" w:line="276" w:lineRule="auto"/>
              <w:jc w:val="both"/>
              <w:rPr>
                <w:rFonts w:ascii="Times New Roman" w:hAnsi="Times New Roman" w:eastAsia="宋体"/>
              </w:rPr>
            </w:pPr>
            <w:r>
              <w:rPr>
                <w:rFonts w:ascii="Times New Roman" w:hAnsi="Times New Roman" w:eastAsia="宋体"/>
                <w:b/>
                <w:sz w:val="19"/>
              </w:rPr>
              <w:t>字段名称</w:t>
            </w:r>
          </w:p>
        </w:tc>
        <w:tc>
          <w:tcPr>
            <w:tcW w:w="3135" w:type="dxa"/>
            <w:shd w:val="clear" w:color="auto" w:fill="D9EAF7"/>
            <w:vAlign w:val="center"/>
          </w:tcPr>
          <w:p w14:paraId="40C49ACE">
            <w:pPr>
              <w:spacing w:after="0" w:line="276" w:lineRule="auto"/>
              <w:jc w:val="both"/>
              <w:rPr>
                <w:rFonts w:ascii="Times New Roman" w:hAnsi="Times New Roman" w:eastAsia="宋体"/>
              </w:rPr>
            </w:pPr>
            <w:r>
              <w:rPr>
                <w:rFonts w:ascii="Times New Roman" w:hAnsi="Times New Roman" w:eastAsia="宋体"/>
                <w:b/>
                <w:sz w:val="19"/>
              </w:rPr>
              <w:t>字段含义</w:t>
            </w:r>
          </w:p>
        </w:tc>
        <w:tc>
          <w:tcPr>
            <w:tcW w:w="3135" w:type="dxa"/>
            <w:shd w:val="clear" w:color="auto" w:fill="D9EAF7"/>
            <w:vAlign w:val="center"/>
          </w:tcPr>
          <w:p w14:paraId="241199EB">
            <w:pPr>
              <w:spacing w:after="0" w:line="276" w:lineRule="auto"/>
              <w:jc w:val="both"/>
              <w:rPr>
                <w:rFonts w:ascii="Times New Roman" w:hAnsi="Times New Roman" w:eastAsia="宋体"/>
              </w:rPr>
            </w:pPr>
            <w:r>
              <w:rPr>
                <w:rFonts w:ascii="Times New Roman" w:hAnsi="Times New Roman" w:eastAsia="宋体"/>
                <w:b/>
                <w:sz w:val="19"/>
              </w:rPr>
              <w:t>主要用途</w:t>
            </w:r>
          </w:p>
        </w:tc>
      </w:tr>
      <w:tr w14:paraId="7DCB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BE604DF">
            <w:pPr>
              <w:spacing w:after="0" w:line="276" w:lineRule="auto"/>
              <w:jc w:val="both"/>
              <w:rPr>
                <w:rFonts w:ascii="Times New Roman" w:hAnsi="Times New Roman" w:eastAsia="宋体"/>
              </w:rPr>
            </w:pPr>
            <w:r>
              <w:rPr>
                <w:rFonts w:ascii="Times New Roman" w:hAnsi="Times New Roman" w:eastAsia="宋体"/>
                <w:b w:val="0"/>
                <w:sz w:val="19"/>
              </w:rPr>
              <w:t>smiles</w:t>
            </w:r>
          </w:p>
        </w:tc>
        <w:tc>
          <w:tcPr>
            <w:tcW w:w="3135" w:type="dxa"/>
            <w:vAlign w:val="center"/>
          </w:tcPr>
          <w:p w14:paraId="585C0E55">
            <w:pPr>
              <w:spacing w:after="0" w:line="276" w:lineRule="auto"/>
              <w:jc w:val="both"/>
              <w:rPr>
                <w:rFonts w:ascii="Times New Roman" w:hAnsi="Times New Roman" w:eastAsia="宋体"/>
              </w:rPr>
            </w:pPr>
            <w:r>
              <w:rPr>
                <w:rFonts w:ascii="Times New Roman" w:hAnsi="Times New Roman" w:eastAsia="宋体"/>
                <w:b w:val="0"/>
                <w:sz w:val="19"/>
              </w:rPr>
              <w:t>原始 SMILES 分子结构字符串</w:t>
            </w:r>
          </w:p>
        </w:tc>
        <w:tc>
          <w:tcPr>
            <w:tcW w:w="3135" w:type="dxa"/>
            <w:vAlign w:val="center"/>
          </w:tcPr>
          <w:p w14:paraId="194E33FD">
            <w:pPr>
              <w:spacing w:after="0" w:line="276" w:lineRule="auto"/>
              <w:jc w:val="both"/>
              <w:rPr>
                <w:rFonts w:ascii="Times New Roman" w:hAnsi="Times New Roman" w:eastAsia="宋体"/>
              </w:rPr>
            </w:pPr>
            <w:r>
              <w:rPr>
                <w:rFonts w:ascii="Times New Roman" w:hAnsi="Times New Roman" w:eastAsia="宋体"/>
                <w:b w:val="0"/>
                <w:sz w:val="19"/>
              </w:rPr>
              <w:t>分子结构输入</w:t>
            </w:r>
          </w:p>
        </w:tc>
      </w:tr>
      <w:tr w14:paraId="50DD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0A22C6C">
            <w:pPr>
              <w:spacing w:after="0" w:line="276" w:lineRule="auto"/>
              <w:jc w:val="both"/>
              <w:rPr>
                <w:rFonts w:ascii="Times New Roman" w:hAnsi="Times New Roman" w:eastAsia="宋体"/>
              </w:rPr>
            </w:pPr>
            <w:r>
              <w:rPr>
                <w:rFonts w:ascii="Times New Roman" w:hAnsi="Times New Roman" w:eastAsia="宋体"/>
                <w:b w:val="0"/>
                <w:sz w:val="19"/>
              </w:rPr>
              <w:t>canonical_smiles</w:t>
            </w:r>
          </w:p>
        </w:tc>
        <w:tc>
          <w:tcPr>
            <w:tcW w:w="3135" w:type="dxa"/>
            <w:vAlign w:val="center"/>
          </w:tcPr>
          <w:p w14:paraId="7F1CB8B4">
            <w:pPr>
              <w:spacing w:after="0" w:line="276" w:lineRule="auto"/>
              <w:jc w:val="both"/>
              <w:rPr>
                <w:rFonts w:ascii="Times New Roman" w:hAnsi="Times New Roman" w:eastAsia="宋体"/>
              </w:rPr>
            </w:pPr>
            <w:r>
              <w:rPr>
                <w:rFonts w:ascii="Times New Roman" w:hAnsi="Times New Roman" w:eastAsia="宋体"/>
                <w:b w:val="0"/>
                <w:sz w:val="19"/>
              </w:rPr>
              <w:t>标准化 SMILES</w:t>
            </w:r>
          </w:p>
        </w:tc>
        <w:tc>
          <w:tcPr>
            <w:tcW w:w="3135" w:type="dxa"/>
            <w:vAlign w:val="center"/>
          </w:tcPr>
          <w:p w14:paraId="639384BF">
            <w:pPr>
              <w:spacing w:after="0" w:line="276" w:lineRule="auto"/>
              <w:jc w:val="both"/>
              <w:rPr>
                <w:rFonts w:ascii="Times New Roman" w:hAnsi="Times New Roman" w:eastAsia="宋体"/>
              </w:rPr>
            </w:pPr>
            <w:r>
              <w:rPr>
                <w:rFonts w:ascii="Times New Roman" w:hAnsi="Times New Roman" w:eastAsia="宋体"/>
                <w:b w:val="0"/>
                <w:sz w:val="19"/>
              </w:rPr>
              <w:t>去重、检索与模型输入</w:t>
            </w:r>
          </w:p>
        </w:tc>
      </w:tr>
      <w:tr w14:paraId="77FD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8DBDAD2">
            <w:pPr>
              <w:spacing w:after="0" w:line="276" w:lineRule="auto"/>
              <w:jc w:val="both"/>
              <w:rPr>
                <w:rFonts w:ascii="Times New Roman" w:hAnsi="Times New Roman" w:eastAsia="宋体"/>
              </w:rPr>
            </w:pPr>
            <w:r>
              <w:rPr>
                <w:rFonts w:ascii="Times New Roman" w:hAnsi="Times New Roman" w:eastAsia="宋体"/>
                <w:b w:val="0"/>
                <w:sz w:val="19"/>
              </w:rPr>
              <w:t>inchikey</w:t>
            </w:r>
          </w:p>
        </w:tc>
        <w:tc>
          <w:tcPr>
            <w:tcW w:w="3135" w:type="dxa"/>
            <w:vAlign w:val="center"/>
          </w:tcPr>
          <w:p w14:paraId="7B63515B">
            <w:pPr>
              <w:spacing w:after="0" w:line="276" w:lineRule="auto"/>
              <w:jc w:val="both"/>
              <w:rPr>
                <w:rFonts w:ascii="Times New Roman" w:hAnsi="Times New Roman" w:eastAsia="宋体"/>
              </w:rPr>
            </w:pPr>
            <w:r>
              <w:rPr>
                <w:rFonts w:ascii="Times New Roman" w:hAnsi="Times New Roman" w:eastAsia="宋体"/>
                <w:b w:val="0"/>
                <w:sz w:val="19"/>
              </w:rPr>
              <w:t>分子唯一标识符</w:t>
            </w:r>
          </w:p>
        </w:tc>
        <w:tc>
          <w:tcPr>
            <w:tcW w:w="3135" w:type="dxa"/>
            <w:vAlign w:val="center"/>
          </w:tcPr>
          <w:p w14:paraId="4328B494">
            <w:pPr>
              <w:spacing w:after="0" w:line="276" w:lineRule="auto"/>
              <w:jc w:val="both"/>
              <w:rPr>
                <w:rFonts w:ascii="Times New Roman" w:hAnsi="Times New Roman" w:eastAsia="宋体"/>
              </w:rPr>
            </w:pPr>
            <w:r>
              <w:rPr>
                <w:rFonts w:ascii="Times New Roman" w:hAnsi="Times New Roman" w:eastAsia="宋体"/>
                <w:b w:val="0"/>
                <w:sz w:val="19"/>
              </w:rPr>
              <w:t>跨数据库检索与分子匹配</w:t>
            </w:r>
          </w:p>
        </w:tc>
      </w:tr>
      <w:tr w14:paraId="1405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845A3FA">
            <w:pPr>
              <w:spacing w:after="0" w:line="276" w:lineRule="auto"/>
              <w:jc w:val="both"/>
              <w:rPr>
                <w:rFonts w:ascii="Times New Roman" w:hAnsi="Times New Roman" w:eastAsia="宋体"/>
              </w:rPr>
            </w:pPr>
            <w:r>
              <w:rPr>
                <w:rFonts w:ascii="Times New Roman" w:hAnsi="Times New Roman" w:eastAsia="宋体"/>
                <w:b w:val="0"/>
                <w:sz w:val="19"/>
              </w:rPr>
              <w:t>H_nmr</w:t>
            </w:r>
          </w:p>
        </w:tc>
        <w:tc>
          <w:tcPr>
            <w:tcW w:w="3135" w:type="dxa"/>
            <w:vAlign w:val="center"/>
          </w:tcPr>
          <w:p w14:paraId="38A41CC6">
            <w:pPr>
              <w:spacing w:after="0" w:line="276" w:lineRule="auto"/>
              <w:jc w:val="both"/>
              <w:rPr>
                <w:rFonts w:ascii="Times New Roman" w:hAnsi="Times New Roman" w:eastAsia="宋体"/>
              </w:rPr>
            </w:pPr>
            <w:r>
              <w:rPr>
                <w:rFonts w:ascii="Times New Roman" w:hAnsi="Times New Roman" w:eastAsia="宋体"/>
                <w:b w:val="0"/>
                <w:sz w:val="19"/>
              </w:rPr>
              <w:t>预测 1H NMR 化学位移列表，单位 ppm</w:t>
            </w:r>
          </w:p>
        </w:tc>
        <w:tc>
          <w:tcPr>
            <w:tcW w:w="3135" w:type="dxa"/>
            <w:vAlign w:val="center"/>
          </w:tcPr>
          <w:p w14:paraId="5C5D8612">
            <w:pPr>
              <w:spacing w:after="0" w:line="276" w:lineRule="auto"/>
              <w:jc w:val="both"/>
              <w:rPr>
                <w:rFonts w:ascii="Times New Roman" w:hAnsi="Times New Roman" w:eastAsia="宋体"/>
              </w:rPr>
            </w:pPr>
            <w:r>
              <w:rPr>
                <w:rFonts w:ascii="Times New Roman" w:hAnsi="Times New Roman" w:eastAsia="宋体"/>
                <w:b w:val="0"/>
                <w:sz w:val="19"/>
              </w:rPr>
              <w:t>氢谱预测与解析</w:t>
            </w:r>
          </w:p>
        </w:tc>
      </w:tr>
      <w:tr w14:paraId="2CD4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1A28E09">
            <w:pPr>
              <w:spacing w:after="0" w:line="276" w:lineRule="auto"/>
              <w:jc w:val="both"/>
              <w:rPr>
                <w:rFonts w:ascii="Times New Roman" w:hAnsi="Times New Roman" w:eastAsia="宋体"/>
              </w:rPr>
            </w:pPr>
            <w:r>
              <w:rPr>
                <w:rFonts w:ascii="Times New Roman" w:hAnsi="Times New Roman" w:eastAsia="宋体"/>
                <w:b w:val="0"/>
                <w:sz w:val="19"/>
              </w:rPr>
              <w:t>C_nmr</w:t>
            </w:r>
          </w:p>
        </w:tc>
        <w:tc>
          <w:tcPr>
            <w:tcW w:w="3135" w:type="dxa"/>
            <w:vAlign w:val="center"/>
          </w:tcPr>
          <w:p w14:paraId="653C1132">
            <w:pPr>
              <w:spacing w:after="0" w:line="276" w:lineRule="auto"/>
              <w:jc w:val="both"/>
              <w:rPr>
                <w:rFonts w:ascii="Times New Roman" w:hAnsi="Times New Roman" w:eastAsia="宋体"/>
              </w:rPr>
            </w:pPr>
            <w:r>
              <w:rPr>
                <w:rFonts w:ascii="Times New Roman" w:hAnsi="Times New Roman" w:eastAsia="宋体"/>
                <w:b w:val="0"/>
                <w:sz w:val="19"/>
              </w:rPr>
              <w:t>预测 13C NMR 化学位移列表，单位 ppm</w:t>
            </w:r>
          </w:p>
        </w:tc>
        <w:tc>
          <w:tcPr>
            <w:tcW w:w="3135" w:type="dxa"/>
            <w:vAlign w:val="center"/>
          </w:tcPr>
          <w:p w14:paraId="42D72BAD">
            <w:pPr>
              <w:spacing w:after="0" w:line="276" w:lineRule="auto"/>
              <w:jc w:val="both"/>
              <w:rPr>
                <w:rFonts w:ascii="Times New Roman" w:hAnsi="Times New Roman" w:eastAsia="宋体"/>
              </w:rPr>
            </w:pPr>
            <w:r>
              <w:rPr>
                <w:rFonts w:ascii="Times New Roman" w:hAnsi="Times New Roman" w:eastAsia="宋体"/>
                <w:b w:val="0"/>
                <w:sz w:val="19"/>
              </w:rPr>
              <w:t>碳谱预测与解析</w:t>
            </w:r>
          </w:p>
        </w:tc>
      </w:tr>
      <w:tr w14:paraId="7A05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712E997">
            <w:pPr>
              <w:spacing w:after="0" w:line="276" w:lineRule="auto"/>
              <w:jc w:val="both"/>
              <w:rPr>
                <w:rFonts w:ascii="Times New Roman" w:hAnsi="Times New Roman" w:eastAsia="宋体"/>
              </w:rPr>
            </w:pPr>
            <w:r>
              <w:rPr>
                <w:rFonts w:ascii="Times New Roman" w:hAnsi="Times New Roman" w:eastAsia="宋体"/>
                <w:b w:val="0"/>
                <w:sz w:val="19"/>
              </w:rPr>
              <w:t>nmr_predict</w:t>
            </w:r>
          </w:p>
        </w:tc>
        <w:tc>
          <w:tcPr>
            <w:tcW w:w="3135" w:type="dxa"/>
            <w:vAlign w:val="center"/>
          </w:tcPr>
          <w:p w14:paraId="577377F4">
            <w:pPr>
              <w:spacing w:after="0" w:line="276" w:lineRule="auto"/>
              <w:jc w:val="both"/>
              <w:rPr>
                <w:rFonts w:ascii="Times New Roman" w:hAnsi="Times New Roman" w:eastAsia="宋体"/>
              </w:rPr>
            </w:pPr>
            <w:r>
              <w:rPr>
                <w:rFonts w:ascii="Times New Roman" w:hAnsi="Times New Roman" w:eastAsia="宋体"/>
                <w:b w:val="0"/>
                <w:sz w:val="19"/>
              </w:rPr>
              <w:t>完整 NMR 预测序列，单位 ppm</w:t>
            </w:r>
          </w:p>
        </w:tc>
        <w:tc>
          <w:tcPr>
            <w:tcW w:w="3135" w:type="dxa"/>
            <w:vAlign w:val="center"/>
          </w:tcPr>
          <w:p w14:paraId="6CF9161C">
            <w:pPr>
              <w:spacing w:after="0" w:line="276" w:lineRule="auto"/>
              <w:jc w:val="both"/>
              <w:rPr>
                <w:rFonts w:ascii="Times New Roman" w:hAnsi="Times New Roman" w:eastAsia="宋体"/>
              </w:rPr>
            </w:pPr>
            <w:r>
              <w:rPr>
                <w:rFonts w:ascii="Times New Roman" w:hAnsi="Times New Roman" w:eastAsia="宋体"/>
                <w:b w:val="0"/>
                <w:sz w:val="19"/>
              </w:rPr>
              <w:t>统一谱图建模与预测</w:t>
            </w:r>
          </w:p>
        </w:tc>
      </w:tr>
      <w:tr w14:paraId="2E01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3765B75">
            <w:pPr>
              <w:spacing w:after="0" w:line="276" w:lineRule="auto"/>
              <w:jc w:val="both"/>
              <w:rPr>
                <w:rFonts w:ascii="Times New Roman" w:hAnsi="Times New Roman" w:eastAsia="宋体"/>
              </w:rPr>
            </w:pPr>
            <w:r>
              <w:rPr>
                <w:rFonts w:ascii="Times New Roman" w:hAnsi="Times New Roman" w:eastAsia="宋体"/>
                <w:b w:val="0"/>
                <w:sz w:val="19"/>
              </w:rPr>
              <w:t>atom_index</w:t>
            </w:r>
          </w:p>
        </w:tc>
        <w:tc>
          <w:tcPr>
            <w:tcW w:w="3135" w:type="dxa"/>
            <w:vAlign w:val="center"/>
          </w:tcPr>
          <w:p w14:paraId="1E6942BF">
            <w:pPr>
              <w:spacing w:after="0" w:line="276" w:lineRule="auto"/>
              <w:jc w:val="both"/>
              <w:rPr>
                <w:rFonts w:ascii="Times New Roman" w:hAnsi="Times New Roman" w:eastAsia="宋体"/>
              </w:rPr>
            </w:pPr>
            <w:r>
              <w:rPr>
                <w:rFonts w:ascii="Times New Roman" w:hAnsi="Times New Roman" w:eastAsia="宋体"/>
                <w:b w:val="0"/>
                <w:sz w:val="19"/>
              </w:rPr>
              <w:t>原子类型或原子序数列表</w:t>
            </w:r>
          </w:p>
        </w:tc>
        <w:tc>
          <w:tcPr>
            <w:tcW w:w="3135" w:type="dxa"/>
            <w:vAlign w:val="center"/>
          </w:tcPr>
          <w:p w14:paraId="2B0C1D06">
            <w:pPr>
              <w:spacing w:after="0" w:line="276" w:lineRule="auto"/>
              <w:jc w:val="both"/>
              <w:rPr>
                <w:rFonts w:ascii="Times New Roman" w:hAnsi="Times New Roman" w:eastAsia="宋体"/>
              </w:rPr>
            </w:pPr>
            <w:r>
              <w:rPr>
                <w:rFonts w:ascii="Times New Roman" w:hAnsi="Times New Roman" w:eastAsia="宋体"/>
                <w:b w:val="0"/>
                <w:sz w:val="19"/>
              </w:rPr>
              <w:t>原子级谱图关联</w:t>
            </w:r>
          </w:p>
        </w:tc>
      </w:tr>
      <w:tr w14:paraId="2386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75F2BE0">
            <w:pPr>
              <w:spacing w:after="0" w:line="276" w:lineRule="auto"/>
              <w:jc w:val="both"/>
              <w:rPr>
                <w:rFonts w:ascii="Times New Roman" w:hAnsi="Times New Roman" w:eastAsia="宋体"/>
              </w:rPr>
            </w:pPr>
            <w:r>
              <w:rPr>
                <w:rFonts w:ascii="Times New Roman" w:hAnsi="Times New Roman" w:eastAsia="宋体"/>
                <w:b w:val="0"/>
                <w:sz w:val="19"/>
              </w:rPr>
              <w:t>equi_class</w:t>
            </w:r>
          </w:p>
        </w:tc>
        <w:tc>
          <w:tcPr>
            <w:tcW w:w="3135" w:type="dxa"/>
            <w:vAlign w:val="center"/>
          </w:tcPr>
          <w:p w14:paraId="51C6D22A">
            <w:pPr>
              <w:spacing w:after="0" w:line="276" w:lineRule="auto"/>
              <w:jc w:val="both"/>
              <w:rPr>
                <w:rFonts w:ascii="Times New Roman" w:hAnsi="Times New Roman" w:eastAsia="宋体"/>
              </w:rPr>
            </w:pPr>
            <w:r>
              <w:rPr>
                <w:rFonts w:ascii="Times New Roman" w:hAnsi="Times New Roman" w:eastAsia="宋体"/>
                <w:b w:val="0"/>
                <w:sz w:val="19"/>
              </w:rPr>
              <w:t>等价原子类别编号</w:t>
            </w:r>
          </w:p>
        </w:tc>
        <w:tc>
          <w:tcPr>
            <w:tcW w:w="3135" w:type="dxa"/>
            <w:vAlign w:val="center"/>
          </w:tcPr>
          <w:p w14:paraId="203BD90B">
            <w:pPr>
              <w:spacing w:after="0" w:line="276" w:lineRule="auto"/>
              <w:jc w:val="both"/>
              <w:rPr>
                <w:rFonts w:ascii="Times New Roman" w:hAnsi="Times New Roman" w:eastAsia="宋体"/>
              </w:rPr>
            </w:pPr>
            <w:r>
              <w:rPr>
                <w:rFonts w:ascii="Times New Roman" w:hAnsi="Times New Roman" w:eastAsia="宋体"/>
                <w:b w:val="0"/>
                <w:sz w:val="19"/>
              </w:rPr>
              <w:t>等价原子识别与谱峰归属</w:t>
            </w:r>
          </w:p>
        </w:tc>
      </w:tr>
    </w:tbl>
    <w:p w14:paraId="79107DBC">
      <w:pPr>
        <w:jc w:val="both"/>
        <w:rPr>
          <w:rFonts w:ascii="Times New Roman" w:hAnsi="Times New Roman" w:eastAsia="宋体"/>
        </w:rPr>
      </w:pPr>
    </w:p>
    <w:sectPr>
      <w:headerReference r:id="rId5" w:type="default"/>
      <w:footerReference r:id="rId6" w:type="default"/>
      <w:pgSz w:w="12240" w:h="15840"/>
      <w:pgMar w:top="1247"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FD09A">
    <w:pPr>
      <w:pStyle w:val="24"/>
      <w:jc w:val="center"/>
    </w:pPr>
    <w:r>
      <w:rPr>
        <w:rFonts w:ascii="Noto Sans CJK SC" w:hAnsi="Noto Sans CJK SC" w:eastAsia="Noto Sans CJK SC"/>
        <w:b w:val="0"/>
        <w:color w:val="787878"/>
        <w:sz w:val="18"/>
      </w:rPr>
      <w:t>多模态化学数据标准规范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E05C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04AB6"/>
    <w:rsid w:val="44877BA7"/>
    <w:rsid w:val="7F8B09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6049</Words>
  <Characters>8229</Characters>
  <Lines>0</Lines>
  <Paragraphs>0</Paragraphs>
  <TotalTime>12</TotalTime>
  <ScaleCrop>false</ScaleCrop>
  <LinksUpToDate>false</LinksUpToDate>
  <CharactersWithSpaces>8543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东</cp:lastModifiedBy>
  <dcterms:modified xsi:type="dcterms:W3CDTF">2026-05-28T04:00:57Z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eyJoZGlkIjoiNGY5ZDExOWUyOGUzZGU3NTc1NmY2NjM0N2NlODU1NmYiLCJ1c2VySWQiOiIzMDA5OTU4ODcifQ==</vt:lpwstr>
  </property>
  <property fmtid="{D5CDD505-2E9C-101B-9397-08002B2CF9AE}" pid="3" name="KSOProductBuildVer">
    <vt:lpwstr>2052-12.1.0.26375</vt:lpwstr>
  </property>
  <property fmtid="{D5CDD505-2E9C-101B-9397-08002B2CF9AE}" pid="4" name="ICV">
    <vt:lpwstr>03972E55D2364FFEAEF527A4C4562E39_12</vt:lpwstr>
  </property>
</Properties>
</file>