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工资总额分配方案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总额分配是与企业人力资源战略紧密联系的管理要素。企业的工资总额分配机制对企业的发展至关重要，它不仅影响员工的激励、调控、保障管理，而且有助于企业实现战略目标、改善经营绩效、提高市场竞争力和加强企业文化。如何建立一套科学、合理</w:t>
      </w:r>
      <w:bookmarkStart w:id="0" w:name="_GoBack"/>
      <w:bookmarkEnd w:id="0"/>
      <w:r>
        <w:rPr>
          <w:rFonts w:hint="eastAsia"/>
          <w:lang w:val="en-US" w:eastAsia="zh-CN"/>
        </w:rPr>
        <w:t>的工资总额分配方案，对国有企业来说是一个全新而重大的课题。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现有某国有企业，总公司拟对</w:t>
      </w:r>
      <w:r>
        <w:rPr>
          <w:rFonts w:hint="eastAsia"/>
          <w:lang w:val="en-US" w:eastAsia="zh-CN"/>
        </w:rPr>
        <w:t>26个省市分公司</w:t>
      </w:r>
      <w:r>
        <w:rPr>
          <w:rFonts w:hint="eastAsia"/>
          <w:highlight w:val="none"/>
          <w:lang w:val="en-US" w:eastAsia="zh-CN"/>
        </w:rPr>
        <w:t>进行</w:t>
      </w:r>
      <w:r>
        <w:rPr>
          <w:rFonts w:hint="eastAsia"/>
          <w:lang w:val="en-US" w:eastAsia="zh-CN"/>
        </w:rPr>
        <w:t>工资总额分配，即，该国企2018年计划在26个省市分公司分配工资总计</w:t>
      </w:r>
      <w:r>
        <w:rPr>
          <w:rFonts w:hint="eastAsia"/>
          <w:color w:val="auto"/>
          <w:lang w:val="en-US" w:eastAsia="zh-CN"/>
        </w:rPr>
        <w:t>360余</w:t>
      </w:r>
      <w:r>
        <w:rPr>
          <w:rFonts w:hint="eastAsia"/>
          <w:lang w:val="en-US" w:eastAsia="zh-CN"/>
        </w:rPr>
        <w:t>亿元人民币</w:t>
      </w:r>
      <w:r>
        <w:rPr>
          <w:rFonts w:hint="eastAsia"/>
          <w:highlight w:val="none"/>
          <w:lang w:val="en-US" w:eastAsia="zh-CN"/>
        </w:rPr>
        <w:t>（附件2）</w:t>
      </w:r>
      <w:r>
        <w:rPr>
          <w:rFonts w:hint="eastAsia"/>
          <w:lang w:val="en-US" w:eastAsia="zh-CN"/>
        </w:rPr>
        <w:t>，那么每个省市分公司应该怎样分配才能保证工资总额分配是合理的？当然，该国企总公司为了在26个省市分公司科学配置工资总额，促进企业经营发展、提高管理水平、提升竞争能力，</w:t>
      </w:r>
      <w:r>
        <w:rPr>
          <w:rFonts w:hint="eastAsia"/>
          <w:highlight w:val="none"/>
          <w:lang w:val="en-US" w:eastAsia="zh-CN"/>
        </w:rPr>
        <w:t>应该综合考虑各省市的地区差异、收入与成本规模和收益等因素。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总公司一般在年初制定本年度各省市分公司的工资总额分配方案，年底根据本年度各省市分公司的实际运营情况进行微调，进而制定下一年度的分配方案，例如：2018年初，根据2017年各省市分公司的实际运营情况制定2018年分配方案，并加以执行；2018年底，根据2018年各省市分公司的实际运营情况，判定2018年初制定的工资总额分配是否合理，从而对2018年制定的分配方案进行微调，并据此制定并执行2019年的分配方案。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现在，我们给出了2018年度26个省市分公司一年的运营情况统计表（附件1），同时给出了2018年度该国企总公司工资总额在26个省市</w:t>
      </w:r>
      <w:r>
        <w:rPr>
          <w:rFonts w:hint="eastAsia"/>
          <w:lang w:val="en-US" w:eastAsia="zh-CN"/>
        </w:rPr>
        <w:t>分公司</w:t>
      </w:r>
      <w:r>
        <w:rPr>
          <w:rFonts w:hint="eastAsia"/>
          <w:highlight w:val="none"/>
          <w:lang w:val="en-US" w:eastAsia="zh-CN"/>
        </w:rPr>
        <w:t>制定并执行的分配方案（附件2），根据相关数据，建立如下的数学模型。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1.分析</w:t>
      </w:r>
      <w:r>
        <w:rPr>
          <w:rFonts w:hint="eastAsia"/>
          <w:highlight w:val="none"/>
          <w:lang w:val="en-US" w:eastAsia="zh-CN"/>
        </w:rPr>
        <w:t>26个省市各分公司所分配的</w:t>
      </w:r>
      <w:r>
        <w:rPr>
          <w:rFonts w:hint="eastAsia"/>
          <w:lang w:val="en-US" w:eastAsia="zh-CN"/>
        </w:rPr>
        <w:t>工资总额主要受哪些因素影响？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2.根据问题1 确定的因素，用数学模型评价2018年初制定的省市分公司工资总额分配是否合理。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3.建立数学模型，给出2018年各省市分公司工资总额合理分配方案。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23E2"/>
    <w:rsid w:val="013E52F1"/>
    <w:rsid w:val="03426B4E"/>
    <w:rsid w:val="03517791"/>
    <w:rsid w:val="03916F62"/>
    <w:rsid w:val="03E95B35"/>
    <w:rsid w:val="04484E17"/>
    <w:rsid w:val="045A62BD"/>
    <w:rsid w:val="0B776F42"/>
    <w:rsid w:val="0D8D5DD1"/>
    <w:rsid w:val="12097E10"/>
    <w:rsid w:val="13DE3A3D"/>
    <w:rsid w:val="166927A9"/>
    <w:rsid w:val="18135A10"/>
    <w:rsid w:val="19763AAA"/>
    <w:rsid w:val="1B131D6D"/>
    <w:rsid w:val="1CDF2F10"/>
    <w:rsid w:val="1D2162FD"/>
    <w:rsid w:val="20D84CA1"/>
    <w:rsid w:val="236C5EEC"/>
    <w:rsid w:val="24500001"/>
    <w:rsid w:val="247E0745"/>
    <w:rsid w:val="24BD3DCA"/>
    <w:rsid w:val="25897847"/>
    <w:rsid w:val="26290E56"/>
    <w:rsid w:val="2B14506D"/>
    <w:rsid w:val="2D82404C"/>
    <w:rsid w:val="2EB24700"/>
    <w:rsid w:val="2FF36B92"/>
    <w:rsid w:val="30061181"/>
    <w:rsid w:val="33EF0749"/>
    <w:rsid w:val="35116715"/>
    <w:rsid w:val="352016AC"/>
    <w:rsid w:val="35A96C96"/>
    <w:rsid w:val="375168AA"/>
    <w:rsid w:val="3A47479A"/>
    <w:rsid w:val="3F8D1521"/>
    <w:rsid w:val="40070F72"/>
    <w:rsid w:val="40E1397C"/>
    <w:rsid w:val="40E2484C"/>
    <w:rsid w:val="46CB04E1"/>
    <w:rsid w:val="478C0648"/>
    <w:rsid w:val="480012FD"/>
    <w:rsid w:val="48E654E8"/>
    <w:rsid w:val="494A3E21"/>
    <w:rsid w:val="4AD07F6E"/>
    <w:rsid w:val="4AE60539"/>
    <w:rsid w:val="4CA406F7"/>
    <w:rsid w:val="4CFA02F4"/>
    <w:rsid w:val="4DB779C3"/>
    <w:rsid w:val="4F294965"/>
    <w:rsid w:val="4F6F0B2A"/>
    <w:rsid w:val="545A1DD3"/>
    <w:rsid w:val="547D2B82"/>
    <w:rsid w:val="56BD7DD6"/>
    <w:rsid w:val="575F2059"/>
    <w:rsid w:val="58F83912"/>
    <w:rsid w:val="5BD32BA0"/>
    <w:rsid w:val="5CB660A4"/>
    <w:rsid w:val="5CC12926"/>
    <w:rsid w:val="627C023A"/>
    <w:rsid w:val="635F26CE"/>
    <w:rsid w:val="63DE4262"/>
    <w:rsid w:val="6411433B"/>
    <w:rsid w:val="650D2953"/>
    <w:rsid w:val="66033C16"/>
    <w:rsid w:val="68901F5A"/>
    <w:rsid w:val="68E67499"/>
    <w:rsid w:val="694578C6"/>
    <w:rsid w:val="69D31DF5"/>
    <w:rsid w:val="724020ED"/>
    <w:rsid w:val="75461CBB"/>
    <w:rsid w:val="77662143"/>
    <w:rsid w:val="7A66100C"/>
    <w:rsid w:val="7CB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左右 </cp:lastModifiedBy>
  <dcterms:modified xsi:type="dcterms:W3CDTF">2019-03-18T10:22:32Z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  <property fmtid="{D5CDD505-2E9C-101B-9397-08002B2CF9AE}" pid="3" name="KSORubyTemplateID" linkTarget="0">
    <vt:lpwstr>6</vt:lpwstr>
  </property>
</Properties>
</file>