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Xe87c357123c525ee18414039b7cf505a433fd8d"/>
    <w:p>
      <w:pPr>
        <w:pStyle w:val="Heading1"/>
      </w:pPr>
      <w:r>
        <w:t xml:space="preserve">Recent GA-Based Inverse Problems in Pipeline and Flow Systems</w:t>
      </w:r>
    </w:p>
    <w:bookmarkStart w:id="24" w:name="executive-summary"/>
    <w:p>
      <w:pPr>
        <w:pStyle w:val="Heading2"/>
      </w:pPr>
      <w:r>
        <w:t xml:space="preserve">Executive summary</w:t>
      </w:r>
    </w:p>
    <w:p>
      <w:pPr>
        <w:pStyle w:val="FirstParagraph"/>
      </w:pPr>
      <w:r>
        <w:t xml:space="preserve">Your reference article in</w:t>
      </w:r>
      <w:r>
        <w:t xml:space="preserve"> </w:t>
      </w:r>
      <w:r>
        <w:rPr>
          <w:i/>
          <w:iCs/>
        </w:rPr>
        <w:t xml:space="preserve">Information</w:t>
      </w:r>
      <w:r>
        <w:t xml:space="preserve"> </w:t>
      </w:r>
      <w:r>
        <w:t xml:space="preserve">14(5):286 is an inverse back-calculation paper: it starts from measured responses, treats hidden physical parameters as unknowns, and uses a MATLAB-based genetic algorithm to search for the parameter set that best matches the observations. In recent pipeline and flow-system literature, the closest analogues are leak-localization, hydraulic-calibration, and water-quality-calibration papers that follow the same pattern: measurements in, forward model in the middle, GA-based parameter recovery out. Among the papers I reviewed, the strongest conceptual matches are the inverse-transient leak-localization studies by Brahami et al. and Sharifi et al., while the strongest bridge to a network-scale calibration demo is the FEM-based calibration paper by Díaz-Ortiz et al.</w:t>
      </w:r>
      <w:r>
        <w:t xml:space="preserve"> </w:t>
      </w:r>
      <w:hyperlink r:id="rId21">
        <w:r>
          <w:rPr>
            <w:rStyle w:val="Hyperlink"/>
          </w:rPr>
          <w:t xml:space="preserve">[1]</w:t>
        </w:r>
      </w:hyperlink>
    </w:p>
    <w:p>
      <w:pPr>
        <w:pStyle w:val="BodyText"/>
      </w:pPr>
      <w:r>
        <w:t xml:space="preserve">Across the strongest matches, the inverse problem is almost always posed as a</w:t>
      </w:r>
      <w:r>
        <w:t xml:space="preserve"> </w:t>
      </w:r>
      <w:r>
        <w:rPr>
          <w:b/>
          <w:bCs/>
        </w:rPr>
        <w:t xml:space="preserve">single scalar mismatch minimization</w:t>
      </w:r>
      <w:r>
        <w:t xml:space="preserve"> </w:t>
      </w:r>
      <w:r>
        <w:t xml:space="preserve">with</w:t>
      </w:r>
      <w:r>
        <w:t xml:space="preserve"> </w:t>
      </w:r>
      <w:r>
        <w:rPr>
          <w:b/>
          <w:bCs/>
        </w:rPr>
        <w:t xml:space="preserve">continuous variables</w:t>
      </w:r>
      <w:r>
        <w:t xml:space="preserve">. That means</w:t>
      </w:r>
      <w:r>
        <w:t xml:space="preserve"> </w:t>
      </w:r>
      <w:r>
        <w:rPr>
          <w:rStyle w:val="VerbatimChar"/>
        </w:rPr>
        <w:t xml:space="preserve">ga()</w:t>
      </w:r>
      <w:r>
        <w:t xml:space="preserve"> </w:t>
      </w:r>
      <w:r>
        <w:t xml:space="preserve">is the natural MATLAB solver if you want to stay close to the papers.</w:t>
      </w:r>
      <w:r>
        <w:t xml:space="preserve"> </w:t>
      </w:r>
      <w:r>
        <w:rPr>
          <w:rStyle w:val="VerbatimChar"/>
        </w:rPr>
        <w:t xml:space="preserve">gamultiobj()</w:t>
      </w:r>
      <w:r>
        <w:t xml:space="preserve"> </w:t>
      </w:r>
      <w:r>
        <w:t xml:space="preserve">is useful only if</w:t>
      </w:r>
      <w:r>
        <w:t xml:space="preserve"> </w:t>
      </w:r>
      <w:r>
        <w:rPr>
          <w:b/>
          <w:bCs/>
        </w:rPr>
        <w:t xml:space="preserve">you</w:t>
      </w:r>
      <w:r>
        <w:t xml:space="preserve"> </w:t>
      </w:r>
      <w:r>
        <w:t xml:space="preserve">deliberately split the problem into separate objectives such as fit error versus operating penalty or fit error versus sensor count. Official MATLAB documentation describes</w:t>
      </w:r>
      <w:r>
        <w:t xml:space="preserve"> </w:t>
      </w:r>
      <w:r>
        <w:rPr>
          <w:rStyle w:val="VerbatimChar"/>
        </w:rPr>
        <w:t xml:space="preserve">ga</w:t>
      </w:r>
      <w:r>
        <w:t xml:space="preserve"> </w:t>
      </w:r>
      <w:r>
        <w:t xml:space="preserve">as a scalar-fitness solver with bounds, linear constraints, nonlinear inequality/equality constraints, and optional integer variables, while</w:t>
      </w:r>
      <w:r>
        <w:t xml:space="preserve"> </w:t>
      </w:r>
      <w:r>
        <w:rPr>
          <w:rStyle w:val="VerbatimChar"/>
        </w:rPr>
        <w:t xml:space="preserve">gamultiobj</w:t>
      </w:r>
      <w:r>
        <w:t xml:space="preserve"> </w:t>
      </w:r>
      <w:r>
        <w:t xml:space="preserve">is a controlled-elitist multiobjective GA, a variant of NSGA-II.</w:t>
      </w:r>
      <w:r>
        <w:t xml:space="preserve"> </w:t>
      </w:r>
      <w:hyperlink r:id="rId22">
        <w:r>
          <w:rPr>
            <w:rStyle w:val="Hyperlink"/>
          </w:rPr>
          <w:t xml:space="preserve">[2]</w:t>
        </w:r>
      </w:hyperlink>
    </w:p>
    <w:p>
      <w:pPr>
        <w:pStyle w:val="BodyText"/>
      </w:pPr>
      <w:r>
        <w:t xml:space="preserve">The practical shortlist for a MATLAB-only adaptation is therefore clear. If you want the</w:t>
      </w:r>
      <w:r>
        <w:t xml:space="preserve"> </w:t>
      </w:r>
      <w:r>
        <w:rPr>
          <w:b/>
          <w:bCs/>
        </w:rPr>
        <w:t xml:space="preserve">cleanest single-pipe inverse demo</w:t>
      </w:r>
      <w:r>
        <w:t xml:space="preserve">, start with Sharifi et al. 2025. If you want the</w:t>
      </w:r>
      <w:r>
        <w:t xml:space="preserve"> </w:t>
      </w:r>
      <w:r>
        <w:rPr>
          <w:b/>
          <w:bCs/>
        </w:rPr>
        <w:t xml:space="preserve">closest conceptual match</w:t>
      </w:r>
      <w:r>
        <w:t xml:space="preserve"> </w:t>
      </w:r>
      <w:r>
        <w:t xml:space="preserve">to your reference MDPI inverse paper, Brahami et al. 2022/2023 is excellent. If you want a</w:t>
      </w:r>
      <w:r>
        <w:t xml:space="preserve"> </w:t>
      </w:r>
      <w:r>
        <w:rPr>
          <w:b/>
          <w:bCs/>
        </w:rPr>
        <w:t xml:space="preserve">small network calibration</w:t>
      </w:r>
      <w:r>
        <w:t xml:space="preserve"> </w:t>
      </w:r>
      <w:r>
        <w:t xml:space="preserve">rather than a single pipe, use Bermúdez et al. 2024 or Díaz-Ortiz et al. 2023. Gómez-Coronel et al. 2023 is the best option if you want to show that the same</w:t>
      </w:r>
      <w:r>
        <w:t xml:space="preserve"> </w:t>
      </w:r>
      <w:r>
        <w:rPr>
          <w:rStyle w:val="VerbatimChar"/>
        </w:rPr>
        <w:t xml:space="preserve">ga()</w:t>
      </w:r>
      <w:r>
        <w:t xml:space="preserve"> </w:t>
      </w:r>
      <w:r>
        <w:t xml:space="preserve">pattern can solve a</w:t>
      </w:r>
      <w:r>
        <w:t xml:space="preserve"> </w:t>
      </w:r>
      <w:r>
        <w:rPr>
          <w:b/>
          <w:bCs/>
        </w:rPr>
        <w:t xml:space="preserve">two-stage inverse-plus-operation</w:t>
      </w:r>
      <w:r>
        <w:t xml:space="preserve"> </w:t>
      </w:r>
      <w:r>
        <w:t xml:space="preserve">problem.</w:t>
      </w:r>
      <w:r>
        <w:t xml:space="preserve"> </w:t>
      </w:r>
      <w:hyperlink r:id="rId23">
        <w:r>
          <w:rPr>
            <w:rStyle w:val="Hyperlink"/>
          </w:rPr>
          <w:t xml:space="preserve">[3]</w:t>
        </w:r>
      </w:hyperlink>
    </w:p>
    <w:bookmarkEnd w:id="24"/>
    <w:bookmarkStart w:id="25" w:name="X28b387deaa648bcdc8f4338912e15d325425f30"/>
    <w:p>
      <w:pPr>
        <w:pStyle w:val="Heading2"/>
      </w:pPr>
      <w:r>
        <w:t xml:space="preserve">Why these papers are close analogues of the reference article</w:t>
      </w:r>
    </w:p>
    <w:p>
      <w:pPr>
        <w:pStyle w:val="FirstParagraph"/>
      </w:pPr>
      <w:r>
        <w:t xml:space="preserve">The analogy is structural, not domain-specific. Your reference paper infers hidden pavement-layer properties from measured surface deflections. The flow-system papers below infer hidden leak position, leak magnitude, hydraulic calibration parameters, or chlorine-decay parameters from measured pressures, flows, or chlorine concentrations. In every case, the engineering workflow is the same: guess hidden parameters, run a forward model, compare with data, and let a GA reduce the mismatch until the model output agrees with observations as well as possible. That is the shared inverse-problem pattern that makes these papers genuinely comparable.</w:t>
      </w:r>
      <w:r>
        <w:t xml:space="preserve"> </w:t>
      </w:r>
      <w:hyperlink r:id="rId21">
        <w:r>
          <w:rPr>
            <w:rStyle w:val="Hyperlink"/>
          </w:rPr>
          <w:t xml:space="preserve">[4]</w:t>
        </w:r>
      </w:hyperlink>
    </w:p>
    <w:p>
      <w:pPr>
        <w:pStyle w:val="BodyText"/>
      </w:pPr>
      <w:r>
        <w:t xml:space="preserve">This matters for MATLAB reproducibility. Official MATLAB documentation expects a decision vector and a scalar fitness for</w:t>
      </w:r>
      <w:r>
        <w:t xml:space="preserve"> </w:t>
      </w:r>
      <w:r>
        <w:rPr>
          <w:rStyle w:val="VerbatimChar"/>
        </w:rPr>
        <w:t xml:space="preserve">ga()</w:t>
      </w:r>
      <w:r>
        <w:t xml:space="preserve">, which matches the published inverse formulations very well. The literature shortlist is also favorable because the main unknowns are continuous in practice: leak position, calibration coefficients, added outflows, reaction coefficients, wave speed, and fluid velocity. In other words, these are not primarily discrete design papers; they are parameter-recovery papers, which is exactly where a compact MATLAB inverse demo works best.</w:t>
      </w:r>
      <w:r>
        <w:t xml:space="preserve"> </w:t>
      </w:r>
      <w:hyperlink r:id="rId22">
        <w:r>
          <w:rPr>
            <w:rStyle w:val="Hyperlink"/>
          </w:rPr>
          <w:t xml:space="preserve">[5]</w:t>
        </w:r>
      </w:hyperlink>
    </w:p>
    <w:bookmarkEnd w:id="25"/>
    <w:bookmarkStart w:id="30" w:name="candidate-papers"/>
    <w:p>
      <w:pPr>
        <w:pStyle w:val="Heading2"/>
      </w:pPr>
      <w:r>
        <w:t xml:space="preserve">Candidate papers</w:t>
      </w:r>
    </w:p>
    <w:p>
      <w:pPr>
        <w:pStyle w:val="FirstParagraph"/>
      </w:pPr>
      <w:r>
        <w:rPr>
          <w:b/>
          <w:bCs/>
        </w:rPr>
        <w:t xml:space="preserve">Optimization of a Pipelines Leak Detection Method Based on Inverse Transient Analysis Using a Genetic Algorithm</w:t>
      </w:r>
      <w:r>
        <w:t xml:space="preserve"> </w:t>
      </w:r>
      <w:r>
        <w:t xml:space="preserve">(journal year 2023; first published online 2022). DOI: 10.1007/s13369-022-06872-9. Official publisher page.</w:t>
      </w:r>
      <w:r>
        <w:t xml:space="preserve"> </w:t>
      </w:r>
      <w:hyperlink r:id="rId26">
        <w:r>
          <w:rPr>
            <w:rStyle w:val="Hyperlink"/>
          </w:rPr>
          <w:t xml:space="preserve">[6]</w:t>
        </w:r>
      </w:hyperlink>
      <w:r>
        <w:br/>
      </w:r>
      <w:r>
        <w:t xml:space="preserve">This is one of the closest flow-system analogues to your reference article. The paper explicitly says the leak problem is formulated as an</w:t>
      </w:r>
      <w:r>
        <w:t xml:space="preserve"> </w:t>
      </w:r>
      <w:r>
        <w:rPr>
          <w:b/>
          <w:bCs/>
        </w:rPr>
        <w:t xml:space="preserve">inverse source localization problem</w:t>
      </w:r>
      <w:r>
        <w:t xml:space="preserve">. The unknown is the leak source location, and the observable information comes from transient leak signatures. The authors explain that exhaustive search becomes too expensive as the pipeline length grows, so they replace that search with a GA and then propose a hybrid</w:t>
      </w:r>
      <w:r>
        <w:t xml:space="preserve"> </w:t>
      </w:r>
      <w:r>
        <w:rPr>
          <w:b/>
          <w:bCs/>
        </w:rPr>
        <w:t xml:space="preserve">GA + matched field processing</w:t>
      </w:r>
      <w:r>
        <w:t xml:space="preserve"> </w:t>
      </w:r>
      <w:r>
        <w:t xml:space="preserve">strategy to shrink the search space further. From a MATLAB point of view, this reads as a</w:t>
      </w:r>
      <w:r>
        <w:t xml:space="preserve"> </w:t>
      </w:r>
      <w:r>
        <w:rPr>
          <w:b/>
          <w:bCs/>
        </w:rPr>
        <w:t xml:space="preserve">single-objective, continuous-variable</w:t>
      </w:r>
      <w:r>
        <w:t xml:space="preserve"> </w:t>
      </w:r>
      <w:r>
        <w:t xml:space="preserve">inverse search with a scalar mismatch fitness, making it extremely compatible with a clean</w:t>
      </w:r>
      <w:r>
        <w:t xml:space="preserve"> </w:t>
      </w:r>
      <w:r>
        <w:rPr>
          <w:rStyle w:val="VerbatimChar"/>
        </w:rPr>
        <w:t xml:space="preserve">ga()</w:t>
      </w:r>
      <w:r>
        <w:t xml:space="preserve"> </w:t>
      </w:r>
      <w:r>
        <w:t xml:space="preserve">implementation.</w:t>
      </w:r>
      <w:r>
        <w:t xml:space="preserve"> </w:t>
      </w:r>
      <w:hyperlink r:id="rId26">
        <w:r>
          <w:rPr>
            <w:rStyle w:val="Hyperlink"/>
          </w:rPr>
          <w:t xml:space="preserve">[7]</w:t>
        </w:r>
      </w:hyperlink>
    </w:p>
    <w:p>
      <w:pPr>
        <w:pStyle w:val="BodyText"/>
      </w:pPr>
      <w:r>
        <w:rPr>
          <w:b/>
          <w:bCs/>
        </w:rPr>
        <w:t xml:space="preserve">Water distribution system calibration using the Finite Element Method coupled to a Genetic Algorithm</w:t>
      </w:r>
      <w:r>
        <w:t xml:space="preserve"> </w:t>
      </w:r>
      <w:r>
        <w:t xml:space="preserve">(2023). DOI: 10.1016/j.jwpe.2023.104017. Official publisher page.</w:t>
      </w:r>
      <w:r>
        <w:t xml:space="preserve"> </w:t>
      </w:r>
      <w:hyperlink r:id="rId27">
        <w:r>
          <w:rPr>
            <w:rStyle w:val="Hyperlink"/>
          </w:rPr>
          <w:t xml:space="preserve">[8]</w:t>
        </w:r>
      </w:hyperlink>
      <w:r>
        <w:br/>
      </w:r>
      <w:r>
        <w:t xml:space="preserve">This paper treats hydraulic model calibration itself as the inverse problem. The official abstract states that it uses a</w:t>
      </w:r>
      <w:r>
        <w:t xml:space="preserve"> </w:t>
      </w:r>
      <w:r>
        <w:rPr>
          <w:b/>
          <w:bCs/>
        </w:rPr>
        <w:t xml:space="preserve">real-number-coded GA</w:t>
      </w:r>
      <w:r>
        <w:t xml:space="preserve"> </w:t>
      </w:r>
      <w:r>
        <w:t xml:space="preserve">coupled to a</w:t>
      </w:r>
      <w:r>
        <w:t xml:space="preserve"> </w:t>
      </w:r>
      <w:r>
        <w:rPr>
          <w:b/>
          <w:bCs/>
        </w:rPr>
        <w:t xml:space="preserve">finite element hydraulic solver</w:t>
      </w:r>
      <w:r>
        <w:t xml:space="preserve"> </w:t>
      </w:r>
      <w:r>
        <w:t xml:space="preserve">and applies the method to both a literature case and a real network. The reported post-calibration agreement is strong, with correlation values above 95% for pressure and flow. The public abstract does not enumerate the full calibration vector, so it is not the best paper if you need a fully exposed variable list from the abstract alone. However, it is highly important for MATLAB-only work because the forward solver is a custom numerical model rather than merely an external simulator wrapper. That makes it the best network-scale bridge if you want to move from “optimize design variables” to “recover hidden network parameters from data.”</w:t>
      </w:r>
      <w:r>
        <w:t xml:space="preserve"> </w:t>
      </w:r>
      <w:hyperlink r:id="rId27">
        <w:r>
          <w:rPr>
            <w:rStyle w:val="Hyperlink"/>
          </w:rPr>
          <w:t xml:space="preserve">[9]</w:t>
        </w:r>
      </w:hyperlink>
    </w:p>
    <w:p>
      <w:pPr>
        <w:pStyle w:val="BodyText"/>
      </w:pPr>
      <w:r>
        <w:rPr>
          <w:b/>
          <w:bCs/>
        </w:rPr>
        <w:t xml:space="preserve">Estimation of Chlorine Concentration in Water Distribution Systems Based on a Genetic Algorithm</w:t>
      </w:r>
      <w:r>
        <w:t xml:space="preserve"> </w:t>
      </w:r>
      <w:r>
        <w:t xml:space="preserve">(2023). DOI: 10.3390/pr11030676. Official publisher page.</w:t>
      </w:r>
      <w:r>
        <w:t xml:space="preserve"> </w:t>
      </w:r>
      <w:hyperlink r:id="rId28">
        <w:r>
          <w:rPr>
            <w:rStyle w:val="Hyperlink"/>
          </w:rPr>
          <w:t xml:space="preserve">[10]</w:t>
        </w:r>
      </w:hyperlink>
      <w:r>
        <w:br/>
      </w:r>
      <w:r>
        <w:t xml:space="preserve">This paper is a very clear inverse-calibration study, just in a water-quality setting rather than pure hydraulics. It estimates the unknown</w:t>
      </w:r>
      <w:r>
        <w:t xml:space="preserve"> </w:t>
      </w:r>
      <w:r>
        <w:rPr>
          <w:b/>
          <w:bCs/>
        </w:rPr>
        <w:t xml:space="preserve">bulk</w:t>
      </w:r>
      <w:r>
        <w:t xml:space="preserve"> </w:t>
      </w:r>
      <w:r>
        <w:t xml:space="preserve">and</w:t>
      </w:r>
      <w:r>
        <w:t xml:space="preserve"> </w:t>
      </w:r>
      <w:r>
        <w:rPr>
          <w:b/>
          <w:bCs/>
        </w:rPr>
        <w:t xml:space="preserve">wall reaction coefficients</w:t>
      </w:r>
      <w:r>
        <w:t xml:space="preserve"> </w:t>
      </w:r>
      <w:r>
        <w:t xml:space="preserve">of a chlorine-decay model from chlorine measurements at instrumented nodes, and then runs a</w:t>
      </w:r>
      <w:r>
        <w:t xml:space="preserve"> </w:t>
      </w:r>
      <w:r>
        <w:rPr>
          <w:b/>
          <w:bCs/>
        </w:rPr>
        <w:t xml:space="preserve">second GA</w:t>
      </w:r>
      <w:r>
        <w:t xml:space="preserve"> </w:t>
      </w:r>
      <w:r>
        <w:t xml:space="preserve">to find the minimum inlet chlorine concentration that still keeps the network within required residual limits. The paper is unusually explicit about the GA structure: the solution vector contains the two reaction coefficients, the fitness is an overall</w:t>
      </w:r>
      <w:r>
        <w:t xml:space="preserve"> </w:t>
      </w:r>
      <w:r>
        <w:rPr>
          <w:b/>
          <w:bCs/>
        </w:rPr>
        <w:t xml:space="preserve">global mean squared error</w:t>
      </w:r>
      <w:r>
        <w:t xml:space="preserve"> </w:t>
      </w:r>
      <w:r>
        <w:t xml:space="preserve">between measured and simulated chlorine time series, and the second-stage problem minimizes source dosage under a concentration constraint. So this is really</w:t>
      </w:r>
      <w:r>
        <w:t xml:space="preserve"> </w:t>
      </w:r>
      <w:r>
        <w:rPr>
          <w:b/>
          <w:bCs/>
        </w:rPr>
        <w:t xml:space="preserve">two sequential single-objective continuous inverse problems</w:t>
      </w:r>
      <w:r>
        <w:t xml:space="preserve"> </w:t>
      </w:r>
      <w:r>
        <w:t xml:space="preserve">in one paper. As published, the workflow uses the EPANET-MATLAB toolkit, so it is not MATLAB-only in strict form, but the inverse structure is excellent and easy to port to a simplified MATLAB decay model.</w:t>
      </w:r>
      <w:r>
        <w:t xml:space="preserve"> </w:t>
      </w:r>
      <w:hyperlink r:id="rId28">
        <w:r>
          <w:rPr>
            <w:rStyle w:val="Hyperlink"/>
          </w:rPr>
          <w:t xml:space="preserve">[11]</w:t>
        </w:r>
      </w:hyperlink>
    </w:p>
    <w:p>
      <w:pPr>
        <w:pStyle w:val="BodyText"/>
      </w:pPr>
      <w:r>
        <w:rPr>
          <w:b/>
          <w:bCs/>
        </w:rPr>
        <w:t xml:space="preserve">A Hybrid Data-Driven and Model-Based Approach for Leak Reduction in Water Distribution Systems Using LQR and Genetic Algorithms</w:t>
      </w:r>
      <w:r>
        <w:t xml:space="preserve"> </w:t>
      </w:r>
      <w:r>
        <w:t xml:space="preserve">(2024). DOI: 10.3390/pr12091805. Official publisher page.</w:t>
      </w:r>
      <w:r>
        <w:t xml:space="preserve"> </w:t>
      </w:r>
      <w:hyperlink r:id="rId29">
        <w:r>
          <w:rPr>
            <w:rStyle w:val="Hyperlink"/>
          </w:rPr>
          <w:t xml:space="preserve">[12]</w:t>
        </w:r>
      </w:hyperlink>
      <w:r>
        <w:br/>
      </w:r>
      <w:r>
        <w:t xml:space="preserve">This paper formulates leak localization as a calibration problem over</w:t>
      </w:r>
      <w:r>
        <w:t xml:space="preserve"> </w:t>
      </w:r>
      <w:r>
        <w:rPr>
          <w:b/>
          <w:bCs/>
        </w:rPr>
        <w:t xml:space="preserve">additional outflows at suspected nodes</w:t>
      </w:r>
      <w:r>
        <w:t xml:space="preserve">. In plain English, the model assumes that if a certain node is leaking, adding an extra outflow there should make simulated pressure/flow data line up better with measured data; the node with the strongest calibrated extra outflow is then treated as the leak location. The authors explicitly say the GA minimizes the error between measured and simulated values, uses nonnegative bounds on leak outflows, and is implemented in</w:t>
      </w:r>
      <w:r>
        <w:t xml:space="preserve"> </w:t>
      </w:r>
      <w:r>
        <w:rPr>
          <w:b/>
          <w:bCs/>
        </w:rPr>
        <w:t xml:space="preserve">MATLAB R2022 using the Global Optimization Toolbox</w:t>
      </w:r>
      <w:r>
        <w:t xml:space="preserve">, with a population size of 100 and 20 generations in the reported setup. That makes it one of the most directly transferable papers for a branched-network MATLAB demo. The published validation still uses an EPANET forward model, but the inverse logic itself is simple and beginner-friendly.</w:t>
      </w:r>
      <w:r>
        <w:t xml:space="preserve"> </w:t>
      </w:r>
      <w:hyperlink r:id="rId29">
        <w:r>
          <w:rPr>
            <w:rStyle w:val="Hyperlink"/>
          </w:rPr>
          <w:t xml:space="preserve">[13]</w:t>
        </w:r>
      </w:hyperlink>
    </w:p>
    <w:p>
      <w:pPr>
        <w:pStyle w:val="BodyText"/>
      </w:pPr>
      <w:r>
        <w:rPr>
          <w:b/>
          <w:bCs/>
        </w:rPr>
        <w:t xml:space="preserve">Genetic algorithm optimization of negative pressure wave method for robust real time leak detection in long distance pipelines</w:t>
      </w:r>
      <w:r>
        <w:t xml:space="preserve"> </w:t>
      </w:r>
      <w:r>
        <w:t xml:space="preserve">(2025). DOI: 10.1038/s41598-025-20525-5. Official publisher page.</w:t>
      </w:r>
      <w:r>
        <w:t xml:space="preserve"> </w:t>
      </w:r>
      <w:hyperlink r:id="rId23">
        <w:r>
          <w:rPr>
            <w:rStyle w:val="Hyperlink"/>
          </w:rPr>
          <w:t xml:space="preserve">[14]</w:t>
        </w:r>
      </w:hyperlink>
      <w:r>
        <w:br/>
      </w:r>
      <w:r>
        <w:t xml:space="preserve">This is probably the best modern paper to adapt into a pure MATLAB inverse demo. The inverse problem is real-time leak localization from pressure-wave sensor data in a long-distance pipeline. The paper states explicitly that the GA optimizes</w:t>
      </w:r>
      <w:r>
        <w:t xml:space="preserve"> </w:t>
      </w:r>
      <w:r>
        <w:rPr>
          <w:b/>
          <w:bCs/>
        </w:rPr>
        <w:t xml:space="preserve">wave speed</w:t>
      </w:r>
      <w:r>
        <w:t xml:space="preserve">,</w:t>
      </w:r>
      <w:r>
        <w:t xml:space="preserve"> </w:t>
      </w:r>
      <w:r>
        <w:rPr>
          <w:b/>
          <w:bCs/>
        </w:rPr>
        <w:t xml:space="preserve">fluid velocity</w:t>
      </w:r>
      <w:r>
        <w:t xml:space="preserve">, and</w:t>
      </w:r>
      <w:r>
        <w:t xml:space="preserve"> </w:t>
      </w:r>
      <w:r>
        <w:rPr>
          <w:b/>
          <w:bCs/>
        </w:rPr>
        <w:t xml:space="preserve">leak position</w:t>
      </w:r>
      <w:r>
        <w:t xml:space="preserve">, and that the fitness minimizes the mismatch between predicted and observed leak location according to the negative-pressure-wave equations. The reported field results are strong: on ten leak tests over a 175 km crude-oil pipeline, the GA-enhanced method reduced average localization error to 5% and lowered detection time to roughly 10 seconds. Even though the authors also used a simulation platform for scenario testing, the inverse core is analytical enough that the method can be reproduced in MATLAB with</w:t>
      </w:r>
      <w:r>
        <w:t xml:space="preserve"> </w:t>
      </w:r>
      <w:r>
        <w:rPr>
          <w:rStyle w:val="VerbatimChar"/>
        </w:rPr>
        <w:t xml:space="preserve">ga()</w:t>
      </w:r>
      <w:r>
        <w:t xml:space="preserve"> </w:t>
      </w:r>
      <w:r>
        <w:t xml:space="preserve">and a compact forward model.</w:t>
      </w:r>
      <w:r>
        <w:t xml:space="preserve"> </w:t>
      </w:r>
      <w:hyperlink r:id="rId23">
        <w:r>
          <w:rPr>
            <w:rStyle w:val="Hyperlink"/>
          </w:rPr>
          <w:t xml:space="preserve">[14]</w:t>
        </w:r>
      </w:hyperlink>
    </w:p>
    <w:bookmarkEnd w:id="30"/>
    <w:bookmarkStart w:id="31" w:name="cross-paper-comparison"/>
    <w:p>
      <w:pPr>
        <w:pStyle w:val="Heading2"/>
      </w:pPr>
      <w:r>
        <w:t xml:space="preserve">Cross-paper comparison</w:t>
      </w:r>
    </w:p>
    <w:p>
      <w:pPr>
        <w:pStyle w:val="FirstParagraph"/>
      </w:pPr>
      <w:r>
        <w:t xml:space="preserve">The table below condenses the five candidate papers. The “Reproducible in MATLAB-only?” column is my practical judgment based on each paper’s forward model and how tightly the published workflow depends on external simulators, interpreted against official MATLAB solver capabilities.</w:t>
      </w:r>
      <w:r>
        <w:t xml:space="preserve"> </w:t>
      </w:r>
      <w:hyperlink r:id="rId26">
        <w:r>
          <w:rPr>
            <w:rStyle w:val="Hyperlink"/>
          </w:rPr>
          <w:t xml:space="preserve">[15]</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Paper</w:t>
            </w:r>
          </w:p>
        </w:tc>
        <w:tc>
          <w:tcPr/>
          <w:p>
            <w:pPr>
              <w:pStyle w:val="Compact"/>
            </w:pPr>
            <w:r>
              <w:t xml:space="preserve">Inverse target</w:t>
            </w:r>
          </w:p>
        </w:tc>
        <w:tc>
          <w:tcPr/>
          <w:p>
            <w:pPr>
              <w:pStyle w:val="Compact"/>
            </w:pPr>
            <w:r>
              <w:t xml:space="preserve">GA role</w:t>
            </w:r>
          </w:p>
        </w:tc>
        <w:tc>
          <w:tcPr/>
          <w:p>
            <w:pPr>
              <w:pStyle w:val="Compact"/>
            </w:pPr>
            <w:r>
              <w:t xml:space="preserve">Reproducible in MATLAB-only?</w:t>
            </w:r>
          </w:p>
        </w:tc>
      </w:tr>
      <w:tr>
        <w:tc>
          <w:tcPr/>
          <w:p>
            <w:pPr>
              <w:pStyle w:val="Compact"/>
            </w:pPr>
            <w:r>
              <w:t xml:space="preserve">Brahami et al. 2022/2023</w:t>
            </w:r>
          </w:p>
        </w:tc>
        <w:tc>
          <w:tcPr/>
          <w:p>
            <w:pPr>
              <w:pStyle w:val="Compact"/>
            </w:pPr>
            <w:r>
              <w:t xml:space="preserve">Leak source location from transient pipeline signatures</w:t>
            </w:r>
          </w:p>
        </w:tc>
        <w:tc>
          <w:tcPr/>
          <w:p>
            <w:pPr>
              <w:pStyle w:val="Compact"/>
            </w:pPr>
            <w:r>
              <w:t xml:space="preserve">Single-objective GA; hybrid GA + search-space reduction</w:t>
            </w:r>
          </w:p>
        </w:tc>
        <w:tc>
          <w:tcPr/>
          <w:p>
            <w:pPr>
              <w:pStyle w:val="Compact"/>
            </w:pPr>
            <w:r>
              <w:rPr>
                <w:b/>
                <w:bCs/>
              </w:rPr>
              <w:t xml:space="preserve">High</w:t>
            </w:r>
            <w:r>
              <w:t xml:space="preserve"> </w:t>
            </w:r>
            <w:r>
              <w:t xml:space="preserve">for a simplified single-pipe inverse transient model</w:t>
            </w:r>
          </w:p>
        </w:tc>
      </w:tr>
      <w:tr>
        <w:tc>
          <w:tcPr/>
          <w:p>
            <w:pPr>
              <w:pStyle w:val="Compact"/>
            </w:pPr>
            <w:r>
              <w:t xml:space="preserve">Díaz-Ortiz et al. 2023</w:t>
            </w:r>
          </w:p>
        </w:tc>
        <w:tc>
          <w:tcPr/>
          <w:p>
            <w:pPr>
              <w:pStyle w:val="Compact"/>
            </w:pPr>
            <w:r>
              <w:t xml:space="preserve">Hydraulic model calibration from pressure/flow observations</w:t>
            </w:r>
          </w:p>
        </w:tc>
        <w:tc>
          <w:tcPr/>
          <w:p>
            <w:pPr>
              <w:pStyle w:val="Compact"/>
            </w:pPr>
            <w:r>
              <w:t xml:space="preserve">Real-coded calibration GA coupled to a custom FEM solver</w:t>
            </w:r>
          </w:p>
        </w:tc>
        <w:tc>
          <w:tcPr/>
          <w:p>
            <w:pPr>
              <w:pStyle w:val="Compact"/>
            </w:pPr>
            <w:r>
              <w:rPr>
                <w:b/>
                <w:bCs/>
              </w:rPr>
              <w:t xml:space="preserve">High to medium-high</w:t>
            </w:r>
            <w:r>
              <w:t xml:space="preserve">; strongest bridge to a pure MATLAB network solver</w:t>
            </w:r>
          </w:p>
        </w:tc>
      </w:tr>
      <w:tr>
        <w:tc>
          <w:tcPr/>
          <w:p>
            <w:pPr>
              <w:pStyle w:val="Compact"/>
            </w:pPr>
            <w:r>
              <w:t xml:space="preserve">Gómez-Coronel et al. 2023</w:t>
            </w:r>
          </w:p>
        </w:tc>
        <w:tc>
          <w:tcPr/>
          <w:p>
            <w:pPr>
              <w:pStyle w:val="Compact"/>
            </w:pPr>
            <w:r>
              <w:t xml:space="preserve">Bulk/wall chlorine-decay coefficients, then minimum inlet chlorine</w:t>
            </w:r>
          </w:p>
        </w:tc>
        <w:tc>
          <w:tcPr/>
          <w:p>
            <w:pPr>
              <w:pStyle w:val="Compact"/>
            </w:pPr>
            <w:r>
              <w:t xml:space="preserve">Two sequential single-objective GAs with scalar error/constraint handling</w:t>
            </w:r>
          </w:p>
        </w:tc>
        <w:tc>
          <w:tcPr/>
          <w:p>
            <w:pPr>
              <w:pStyle w:val="Compact"/>
            </w:pPr>
            <w:r>
              <w:rPr>
                <w:b/>
                <w:bCs/>
              </w:rPr>
              <w:t xml:space="preserve">Medium</w:t>
            </w:r>
            <w:r>
              <w:t xml:space="preserve">; published workflow uses EPANET-MATLAB, but reduced-order MATLAB replacement is straightforward</w:t>
            </w:r>
          </w:p>
        </w:tc>
      </w:tr>
      <w:tr>
        <w:tc>
          <w:tcPr/>
          <w:p>
            <w:pPr>
              <w:pStyle w:val="Compact"/>
            </w:pPr>
            <w:r>
              <w:t xml:space="preserve">Bermúdez et al. 2024</w:t>
            </w:r>
          </w:p>
        </w:tc>
        <w:tc>
          <w:tcPr/>
          <w:p>
            <w:pPr>
              <w:pStyle w:val="Compact"/>
            </w:pPr>
            <w:r>
              <w:t xml:space="preserve">Leak-node outflow pattern from pressure/flow mismatch</w:t>
            </w:r>
          </w:p>
        </w:tc>
        <w:tc>
          <w:tcPr/>
          <w:p>
            <w:pPr>
              <w:pStyle w:val="Compact"/>
            </w:pPr>
            <w:r>
              <w:t xml:space="preserve">Single-objective continuous outflow calibration in MATLAB</w:t>
            </w:r>
          </w:p>
        </w:tc>
        <w:tc>
          <w:tcPr/>
          <w:p>
            <w:pPr>
              <w:pStyle w:val="Compact"/>
            </w:pPr>
            <w:r>
              <w:rPr>
                <w:b/>
                <w:bCs/>
              </w:rPr>
              <w:t xml:space="preserve">Medium-high</w:t>
            </w:r>
            <w:r>
              <w:t xml:space="preserve"> </w:t>
            </w:r>
            <w:r>
              <w:t xml:space="preserve">for a toy branched network with a custom forward model</w:t>
            </w:r>
          </w:p>
        </w:tc>
      </w:tr>
      <w:tr>
        <w:tc>
          <w:tcPr/>
          <w:p>
            <w:pPr>
              <w:pStyle w:val="Compact"/>
            </w:pPr>
            <w:r>
              <w:t xml:space="preserve">Sharifi et al. 2025</w:t>
            </w:r>
          </w:p>
        </w:tc>
        <w:tc>
          <w:tcPr/>
          <w:p>
            <w:pPr>
              <w:pStyle w:val="Compact"/>
            </w:pPr>
            <w:r>
              <w:t xml:space="preserve">Leak position plus wave/flow parameters from NPW sensor data</w:t>
            </w:r>
          </w:p>
        </w:tc>
        <w:tc>
          <w:tcPr/>
          <w:p>
            <w:pPr>
              <w:pStyle w:val="Compact"/>
            </w:pPr>
            <w:r>
              <w:t xml:space="preserve">Single-objective continuous GA over wave speed, velocity, and leak location</w:t>
            </w:r>
          </w:p>
        </w:tc>
        <w:tc>
          <w:tcPr/>
          <w:p>
            <w:pPr>
              <w:pStyle w:val="Compact"/>
            </w:pPr>
            <w:r>
              <w:rPr>
                <w:b/>
                <w:bCs/>
              </w:rPr>
              <w:t xml:space="preserve">Very high</w:t>
            </w:r>
            <w:r>
              <w:t xml:space="preserve"> </w:t>
            </w:r>
            <w:r>
              <w:t xml:space="preserve">for a compact MATLAB pipeline inverse demo</w:t>
            </w:r>
          </w:p>
        </w:tc>
      </w:tr>
    </w:tbl>
    <w:p>
      <w:pPr>
        <w:pStyle w:val="BodyText"/>
      </w:pPr>
      <w:r>
        <w:t xml:space="preserve">A clear pattern emerges. Brahami and Sharifi are the</w:t>
      </w:r>
      <w:r>
        <w:t xml:space="preserve"> </w:t>
      </w:r>
      <w:r>
        <w:rPr>
          <w:b/>
          <w:bCs/>
        </w:rPr>
        <w:t xml:space="preserve">closest conceptual analogues</w:t>
      </w:r>
      <w:r>
        <w:t xml:space="preserve"> </w:t>
      </w:r>
      <w:r>
        <w:t xml:space="preserve">to your reference inverse paper because both recover hidden physical parameters from sensor responses using compact forward physics. Díaz-Ortiz is the</w:t>
      </w:r>
      <w:r>
        <w:t xml:space="preserve"> </w:t>
      </w:r>
      <w:r>
        <w:rPr>
          <w:b/>
          <w:bCs/>
        </w:rPr>
        <w:t xml:space="preserve">best bridge to a network paper</w:t>
      </w:r>
      <w:r>
        <w:t xml:space="preserve"> </w:t>
      </w:r>
      <w:r>
        <w:t xml:space="preserve">because it already couples GA to an in-house numerical solver rather than to a third-party hydraulic engine. Gómez-Coronel and Bermúdez are especially useful if you want an MDPI-style applied paper with a method section that maps cleanly to MATLAB, but their published workflows rely more heavily on EPANET-based forward simulation than a strict MATLAB-only implementation would allow. None of the five strong papers is inherently a published</w:t>
      </w:r>
      <w:r>
        <w:t xml:space="preserve"> </w:t>
      </w:r>
      <w:r>
        <w:rPr>
          <w:rStyle w:val="VerbatimChar"/>
        </w:rPr>
        <w:t xml:space="preserve">gamultiobj()</w:t>
      </w:r>
      <w:r>
        <w:t xml:space="preserve"> </w:t>
      </w:r>
      <w:r>
        <w:t xml:space="preserve">inverse study; they are mostly scalar-error</w:t>
      </w:r>
      <w:r>
        <w:t xml:space="preserve"> </w:t>
      </w:r>
      <w:r>
        <w:rPr>
          <w:rStyle w:val="VerbatimChar"/>
        </w:rPr>
        <w:t xml:space="preserve">ga()</w:t>
      </w:r>
      <w:r>
        <w:t xml:space="preserve"> </w:t>
      </w:r>
      <w:r>
        <w:t xml:space="preserve">papers.</w:t>
      </w:r>
      <w:r>
        <w:t xml:space="preserve"> </w:t>
      </w:r>
      <w:hyperlink r:id="rId26">
        <w:r>
          <w:rPr>
            <w:rStyle w:val="Hyperlink"/>
          </w:rPr>
          <w:t xml:space="preserve">[15]</w:t>
        </w:r>
      </w:hyperlink>
    </w:p>
    <w:bookmarkEnd w:id="31"/>
    <w:bookmarkStart w:id="32" w:name="matlab-only-reproducibility"/>
    <w:p>
      <w:pPr>
        <w:pStyle w:val="Heading2"/>
      </w:pPr>
      <w:r>
        <w:t xml:space="preserve">MATLAB-only reproducibility</w:t>
      </w:r>
    </w:p>
    <w:p>
      <w:pPr>
        <w:pStyle w:val="FirstParagraph"/>
      </w:pPr>
      <w:r>
        <w:t xml:space="preserve">If you want a</w:t>
      </w:r>
      <w:r>
        <w:t xml:space="preserve"> </w:t>
      </w:r>
      <w:r>
        <w:rPr>
          <w:b/>
          <w:bCs/>
        </w:rPr>
        <w:t xml:space="preserve">strict MATLAB-only</w:t>
      </w:r>
      <w:r>
        <w:t xml:space="preserve"> </w:t>
      </w:r>
      <w:r>
        <w:t xml:space="preserve">implementation, the key choice is not the GA itself—it is the</w:t>
      </w:r>
      <w:r>
        <w:t xml:space="preserve"> </w:t>
      </w:r>
      <w:r>
        <w:rPr>
          <w:b/>
          <w:bCs/>
        </w:rPr>
        <w:t xml:space="preserve">forward model</w:t>
      </w:r>
      <w:r>
        <w:t xml:space="preserve"> </w:t>
      </w:r>
      <w:r>
        <w:t xml:space="preserve">you place inside the fitness function. Official MATLAB documentation already gives you the outer optimization machinery you need through</w:t>
      </w:r>
      <w:r>
        <w:t xml:space="preserve"> </w:t>
      </w:r>
      <w:r>
        <w:rPr>
          <w:rStyle w:val="VerbatimChar"/>
        </w:rPr>
        <w:t xml:space="preserve">ga()</w:t>
      </w:r>
      <w:r>
        <w:t xml:space="preserve">: a scalar objective, a continuous decision vector, bounds, optional penalties or nonlinear constraints, and a standard call pattern that fits inverse calibration very well.</w:t>
      </w:r>
      <w:r>
        <w:t xml:space="preserve"> </w:t>
      </w:r>
      <w:r>
        <w:rPr>
          <w:rStyle w:val="VerbatimChar"/>
        </w:rPr>
        <w:t xml:space="preserve">gamultiobj()</w:t>
      </w:r>
      <w:r>
        <w:t xml:space="preserve"> </w:t>
      </w:r>
      <w:r>
        <w:t xml:space="preserve">is available if you later want a Pareto front, but for these papers it would be an extension rather than a faithful reproduction.</w:t>
      </w:r>
      <w:r>
        <w:t xml:space="preserve"> </w:t>
      </w:r>
      <w:hyperlink r:id="rId22">
        <w:r>
          <w:rPr>
            <w:rStyle w:val="Hyperlink"/>
          </w:rPr>
          <w:t xml:space="preserve">[2]</w:t>
        </w:r>
      </w:hyperlink>
    </w:p>
    <w:p>
      <w:pPr>
        <w:pStyle w:val="BodyText"/>
      </w:pPr>
      <w:r>
        <w:t xml:space="preserve">For the</w:t>
      </w:r>
      <w:r>
        <w:t xml:space="preserve"> </w:t>
      </w:r>
      <w:r>
        <w:rPr>
          <w:b/>
          <w:bCs/>
        </w:rPr>
        <w:t xml:space="preserve">easiest MATLAB-only reproduction</w:t>
      </w:r>
      <w:r>
        <w:t xml:space="preserve">, choose the transient leak papers. Sharifi 2025 is especially attractive because the unknowns can be written as a very small vector such as</w:t>
      </w:r>
      <w:r>
        <w:t xml:space="preserve"> </w:t>
      </w:r>
      <w:r>
        <w:rPr>
          <w:rStyle w:val="VerbatimChar"/>
        </w:rPr>
        <w:t xml:space="preserve">[waveSpeed, flowVelocity, leakPosition]</w:t>
      </w:r>
      <w:r>
        <w:t xml:space="preserve">, and the fitness can be a simple mismatch between measured and predicted leak location or pressure-wave timing. Brahami 2022/2023 is similarly attractive because the paper is explicitly framed as inverse source localization, which can be implemented with a simple transient-response or matched-response fitness in MATLAB without needing a large network simulator.</w:t>
      </w:r>
      <w:r>
        <w:t xml:space="preserve"> </w:t>
      </w:r>
      <w:hyperlink r:id="rId26">
        <w:r>
          <w:rPr>
            <w:rStyle w:val="Hyperlink"/>
          </w:rPr>
          <w:t xml:space="preserve">[16]</w:t>
        </w:r>
      </w:hyperlink>
    </w:p>
    <w:p>
      <w:pPr>
        <w:pStyle w:val="BodyText"/>
      </w:pPr>
      <w:r>
        <w:t xml:space="preserve">For a</w:t>
      </w:r>
      <w:r>
        <w:t xml:space="preserve"> </w:t>
      </w:r>
      <w:r>
        <w:rPr>
          <w:b/>
          <w:bCs/>
        </w:rPr>
        <w:t xml:space="preserve">small network</w:t>
      </w:r>
      <w:r>
        <w:t xml:space="preserve"> </w:t>
      </w:r>
      <w:r>
        <w:t xml:space="preserve">rather than a single pipe, the best route is to keep the decision vector short. Bermúdez 2024 shows a practical version of this idea by calibrating extra outflows only at a handful of candidate leak nodes, rather than trying to estimate a parameter at every node in the network. Díaz-Ortiz 2023 suggests a second good route: build your own compact hydraulic solver and let GA tune grouped calibration parameters against pressure/flow data. Gómez-Coronel 2023 is also MATLAB-friendly in structure, but it is best viewed as a water-quality inverse calibration paper, not the first choice if your main aim is hydraulic/flow inversion.</w:t>
      </w:r>
      <w:r>
        <w:t xml:space="preserve"> </w:t>
      </w:r>
      <w:hyperlink r:id="rId29">
        <w:r>
          <w:rPr>
            <w:rStyle w:val="Hyperlink"/>
          </w:rPr>
          <w:t xml:space="preserve">[17]</w:t>
        </w:r>
      </w:hyperlink>
    </w:p>
    <w:bookmarkEnd w:id="32"/>
    <w:bookmarkStart w:id="33" w:name="X9e4999c5651a2fbd5fd300e93c26572fc65a813"/>
    <w:p>
      <w:pPr>
        <w:pStyle w:val="Heading2"/>
      </w:pPr>
      <w:r>
        <w:t xml:space="preserve">Best papers to adapt into your earlier MATLAB demo</w:t>
      </w:r>
    </w:p>
    <w:p>
      <w:pPr>
        <w:pStyle w:val="FirstParagraph"/>
      </w:pPr>
      <w:r>
        <w:rPr>
          <w:b/>
          <w:bCs/>
        </w:rPr>
        <w:t xml:space="preserve">Best overall starting point for a MATLAB-only inverse demo:</w:t>
      </w:r>
      <w:r>
        <w:t xml:space="preserve"> </w:t>
      </w:r>
      <w:r>
        <w:rPr>
          <w:b/>
          <w:bCs/>
        </w:rPr>
        <w:t xml:space="preserve">Sharifi et al. 2025.</w:t>
      </w:r>
      <w:r>
        <w:t xml:space="preserve"> </w:t>
      </w:r>
      <w:r>
        <w:t xml:space="preserve">Keep your earlier GA scaffold, change the decision vector from design variables to hidden physical parameters such as</w:t>
      </w:r>
      <w:r>
        <w:t xml:space="preserve"> </w:t>
      </w:r>
      <w:r>
        <w:rPr>
          <w:rStyle w:val="VerbatimChar"/>
        </w:rPr>
        <w:t xml:space="preserve">[a, v, x_leak]</w:t>
      </w:r>
      <w:r>
        <w:t xml:space="preserve">, and replace the old weighted engineering objective with a scalar mismatch between measured and predicted pressure-wave timing or leak position. This gives you a very small, practical inverse problem with a strong recent paper behind it.</w:t>
      </w:r>
      <w:r>
        <w:t xml:space="preserve"> </w:t>
      </w:r>
      <w:hyperlink r:id="rId23">
        <w:r>
          <w:rPr>
            <w:rStyle w:val="Hyperlink"/>
          </w:rPr>
          <w:t xml:space="preserve">[18]</w:t>
        </w:r>
      </w:hyperlink>
    </w:p>
    <w:p>
      <w:pPr>
        <w:pStyle w:val="BodyText"/>
      </w:pPr>
      <w:r>
        <w:rPr>
          <w:b/>
          <w:bCs/>
        </w:rPr>
        <w:t xml:space="preserve">Closest conceptual match to your reference inverse paper:</w:t>
      </w:r>
      <w:r>
        <w:t xml:space="preserve"> </w:t>
      </w:r>
      <w:r>
        <w:rPr>
          <w:b/>
          <w:bCs/>
        </w:rPr>
        <w:t xml:space="preserve">Brahami et al. 2022/2023.</w:t>
      </w:r>
      <w:r>
        <w:t xml:space="preserve"> </w:t>
      </w:r>
      <w:r>
        <w:t xml:space="preserve">The paper is explicitly about inverse source localization, which is conceptually very close to back-calculating hidden parameters from measured responses. If you want your earlier MATLAB demo to look and feel like an inverse-identification paper rather than a design-optimization paper, this is probably the cleanest fit. The main code change is to let the fitness measure how well a candidate leak position reproduces observed transient data.</w:t>
      </w:r>
      <w:r>
        <w:t xml:space="preserve"> </w:t>
      </w:r>
      <w:hyperlink r:id="rId26">
        <w:r>
          <w:rPr>
            <w:rStyle w:val="Hyperlink"/>
          </w:rPr>
          <w:t xml:space="preserve">[19]</w:t>
        </w:r>
      </w:hyperlink>
    </w:p>
    <w:p>
      <w:pPr>
        <w:pStyle w:val="BodyText"/>
      </w:pPr>
      <w:r>
        <w:rPr>
          <w:b/>
          <w:bCs/>
        </w:rPr>
        <w:t xml:space="preserve">Best network-style adaptation:</w:t>
      </w:r>
      <w:r>
        <w:t xml:space="preserve"> </w:t>
      </w:r>
      <w:r>
        <w:rPr>
          <w:b/>
          <w:bCs/>
        </w:rPr>
        <w:t xml:space="preserve">Bermúdez et al. 2024</w:t>
      </w:r>
      <w:r>
        <w:t xml:space="preserve">, with</w:t>
      </w:r>
      <w:r>
        <w:t xml:space="preserve"> </w:t>
      </w:r>
      <w:r>
        <w:rPr>
          <w:b/>
          <w:bCs/>
        </w:rPr>
        <w:t xml:space="preserve">Díaz-Ortiz et al. 2023</w:t>
      </w:r>
      <w:r>
        <w:t xml:space="preserve"> </w:t>
      </w:r>
      <w:r>
        <w:t xml:space="preserve">as the stronger follow-up. For Bermúdez, change the variables to candidate node leak outflows and use summed pressure/flow residuals as the fitness; this is almost a direct rewrite of the reported method, and the paper already uses MATLAB’s Global Optimization Toolbox. For Díaz-Ortiz, move one step closer to a publishable research-style demo by using your own compact steady-state network solver and fitting grouped calibration parameters.</w:t>
      </w:r>
      <w:r>
        <w:t xml:space="preserve"> </w:t>
      </w:r>
      <w:hyperlink r:id="rId29">
        <w:r>
          <w:rPr>
            <w:rStyle w:val="Hyperlink"/>
          </w:rPr>
          <w:t xml:space="preserve">[20]</w:t>
        </w:r>
      </w:hyperlink>
    </w:p>
    <w:p>
      <w:pPr>
        <w:pStyle w:val="BodyText"/>
      </w:pPr>
      <w:r>
        <w:rPr>
          <w:b/>
          <w:bCs/>
        </w:rPr>
        <w:t xml:space="preserve">Best two-stage research extension:</w:t>
      </w:r>
      <w:r>
        <w:t xml:space="preserve"> </w:t>
      </w:r>
      <w:r>
        <w:rPr>
          <w:b/>
          <w:bCs/>
        </w:rPr>
        <w:t xml:space="preserve">Gómez-Coronel et al. 2023.</w:t>
      </w:r>
      <w:r>
        <w:t xml:space="preserve"> </w:t>
      </w:r>
      <w:r>
        <w:t xml:space="preserve">If you want your demo to show a stronger “research workflow,” this paper is ideal because it uses one GA for parameter estimation and a second GA for operational optimization. In MATLAB terms, it shows how the same</w:t>
      </w:r>
      <w:r>
        <w:t xml:space="preserve"> </w:t>
      </w:r>
      <w:r>
        <w:rPr>
          <w:rStyle w:val="VerbatimChar"/>
        </w:rPr>
        <w:t xml:space="preserve">ga()</w:t>
      </w:r>
      <w:r>
        <w:t xml:space="preserve"> </w:t>
      </w:r>
      <w:r>
        <w:t xml:space="preserve">structure can first estimate hidden physical coefficients and then optimize a control/input variable.</w:t>
      </w:r>
      <w:r>
        <w:t xml:space="preserve"> </w:t>
      </w:r>
      <w:hyperlink r:id="rId28">
        <w:r>
          <w:rPr>
            <w:rStyle w:val="Hyperlink"/>
          </w:rPr>
          <w:t xml:space="preserve">[21]</w:t>
        </w:r>
      </w:hyperlink>
    </w:p>
    <w:bookmarkEnd w:id="33"/>
    <w:bookmarkStart w:id="35" w:name="suggested-matlab-only-adaptation-plan"/>
    <w:p>
      <w:pPr>
        <w:pStyle w:val="Heading2"/>
      </w:pPr>
      <w:r>
        <w:t xml:space="preserve">Suggested MATLAB-only adaptation plan</w:t>
      </w:r>
    </w:p>
    <w:p>
      <w:pPr>
        <w:pStyle w:val="FirstParagraph"/>
      </w:pPr>
      <w:r>
        <w:t xml:space="preserve">Only a small part of your earlier demo needs to change. The outer GA call, bounds handling, plotting, and result reporting can stay almost the same; the main changes are the</w:t>
      </w:r>
      <w:r>
        <w:t xml:space="preserve"> </w:t>
      </w:r>
      <w:r>
        <w:rPr>
          <w:b/>
          <w:bCs/>
        </w:rPr>
        <w:t xml:space="preserve">meaning of the decision vector</w:t>
      </w:r>
      <w:r>
        <w:t xml:space="preserve"> </w:t>
      </w:r>
      <w:r>
        <w:t xml:space="preserve">and the</w:t>
      </w:r>
      <w:r>
        <w:t xml:space="preserve"> </w:t>
      </w:r>
      <w:r>
        <w:rPr>
          <w:b/>
          <w:bCs/>
        </w:rPr>
        <w:t xml:space="preserve">fitness function</w:t>
      </w:r>
      <w:r>
        <w:t xml:space="preserve">. Official MATLAB syntax already supports exactly this pattern.</w:t>
      </w:r>
      <w:r>
        <w:t xml:space="preserve"> </w:t>
      </w:r>
      <w:hyperlink r:id="rId22">
        <w:r>
          <w:rPr>
            <w:rStyle w:val="Hyperlink"/>
          </w:rPr>
          <w:t xml:space="preserve">[22]</w:t>
        </w:r>
      </w:hyperlink>
    </w:p>
    <w:p>
      <w:pPr>
        <w:numPr>
          <w:ilvl w:val="0"/>
          <w:numId w:val="1001"/>
        </w:numPr>
      </w:pPr>
      <w:r>
        <w:rPr>
          <w:b/>
          <w:bCs/>
        </w:rPr>
        <w:t xml:space="preserve">Keep</w:t>
      </w:r>
      <w:r>
        <w:rPr>
          <w:b/>
          <w:bCs/>
        </w:rPr>
        <w:t xml:space="preserve"> </w:t>
      </w:r>
      <w:r>
        <w:rPr>
          <w:rStyle w:val="VerbatimChar"/>
          <w:b/>
          <w:bCs/>
        </w:rPr>
        <w:t xml:space="preserve">ga()</w:t>
      </w:r>
      <w:r>
        <w:rPr>
          <w:b/>
          <w:bCs/>
        </w:rPr>
        <w:t xml:space="preserve"> </w:t>
      </w:r>
      <w:r>
        <w:rPr>
          <w:b/>
          <w:bCs/>
        </w:rPr>
        <w:t xml:space="preserve">as the main solver.</w:t>
      </w:r>
      <w:r>
        <w:t xml:space="preserve"> </w:t>
      </w:r>
      <w:r>
        <w:t xml:space="preserve">This stays closest to the papers and to official MATLAB usage. Do not start with</w:t>
      </w:r>
      <w:r>
        <w:t xml:space="preserve"> </w:t>
      </w:r>
      <w:r>
        <w:rPr>
          <w:rStyle w:val="VerbatimChar"/>
        </w:rPr>
        <w:t xml:space="preserve">gamultiobj()</w:t>
      </w:r>
      <w:r>
        <w:t xml:space="preserve"> </w:t>
      </w:r>
      <w:r>
        <w:t xml:space="preserve">unless you intentionally want a two-objective research variant.</w:t>
      </w:r>
      <w:r>
        <w:t xml:space="preserve"> </w:t>
      </w:r>
      <w:hyperlink r:id="rId22">
        <w:r>
          <w:rPr>
            <w:rStyle w:val="Hyperlink"/>
          </w:rPr>
          <w:t xml:space="preserve">[2]</w:t>
        </w:r>
      </w:hyperlink>
    </w:p>
    <w:p>
      <w:pPr>
        <w:numPr>
          <w:ilvl w:val="0"/>
          <w:numId w:val="1001"/>
        </w:numPr>
      </w:pPr>
      <w:r>
        <w:rPr>
          <w:b/>
          <w:bCs/>
        </w:rPr>
        <w:t xml:space="preserve">Replace your old design vector with hidden inverse parameters.</w:t>
      </w:r>
      <w:r>
        <w:br/>
      </w:r>
      <w:r>
        <w:t xml:space="preserve">For a single-pipe transient demo, use something like</w:t>
      </w:r>
      <w:r>
        <w:t xml:space="preserve"> </w:t>
      </w:r>
      <w:r>
        <w:rPr>
          <w:rStyle w:val="VerbatimChar"/>
        </w:rPr>
        <w:t xml:space="preserve">[xLeak, qLeak]</w:t>
      </w:r>
      <w:r>
        <w:t xml:space="preserve"> </w:t>
      </w:r>
      <w:r>
        <w:t xml:space="preserve">or</w:t>
      </w:r>
      <w:r>
        <w:t xml:space="preserve"> </w:t>
      </w:r>
      <w:r>
        <w:rPr>
          <w:rStyle w:val="VerbatimChar"/>
        </w:rPr>
        <w:t xml:space="preserve">[waveSpeed, flowVelocity, xLeak]</w:t>
      </w:r>
      <w:r>
        <w:t xml:space="preserve">.</w:t>
      </w:r>
      <w:r>
        <w:br/>
      </w:r>
      <w:r>
        <w:t xml:space="preserve">For a small branched network, use</w:t>
      </w:r>
      <w:r>
        <w:t xml:space="preserve"> </w:t>
      </w:r>
      <w:r>
        <w:rPr>
          <w:rStyle w:val="VerbatimChar"/>
        </w:rPr>
        <w:t xml:space="preserve">[qL1, qL2, qL3]</w:t>
      </w:r>
      <w:r>
        <w:t xml:space="preserve"> </w:t>
      </w:r>
      <w:r>
        <w:t xml:space="preserve">for candidate leak-node outflows.</w:t>
      </w:r>
      <w:r>
        <w:br/>
      </w:r>
      <w:r>
        <w:t xml:space="preserve">For a water-quality version, use</w:t>
      </w:r>
      <w:r>
        <w:t xml:space="preserve"> </w:t>
      </w:r>
      <w:r>
        <w:rPr>
          <w:rStyle w:val="VerbatimChar"/>
        </w:rPr>
        <w:t xml:space="preserve">[kb, kw]</w:t>
      </w:r>
      <w:r>
        <w:t xml:space="preserve"> </w:t>
      </w:r>
      <w:r>
        <w:t xml:space="preserve">or</w:t>
      </w:r>
      <w:r>
        <w:t xml:space="preserve"> </w:t>
      </w:r>
      <w:r>
        <w:rPr>
          <w:rStyle w:val="VerbatimChar"/>
        </w:rPr>
        <w:t xml:space="preserve">[kb, kw, Cin]</w:t>
      </w:r>
      <w:r>
        <w:t xml:space="preserve">.</w:t>
      </w:r>
      <w:r>
        <w:t xml:space="preserve"> </w:t>
      </w:r>
      <w:hyperlink r:id="rId23">
        <w:r>
          <w:rPr>
            <w:rStyle w:val="Hyperlink"/>
          </w:rPr>
          <w:t xml:space="preserve">[23]</w:t>
        </w:r>
      </w:hyperlink>
    </w:p>
    <w:p>
      <w:pPr>
        <w:numPr>
          <w:ilvl w:val="0"/>
          <w:numId w:val="1001"/>
        </w:numPr>
      </w:pPr>
      <w:r>
        <w:rPr>
          <w:b/>
          <w:bCs/>
        </w:rPr>
        <w:t xml:space="preserve">Replace the old engineering objective with a scalar data-misfit fitness.</w:t>
      </w:r>
      <w:r>
        <w:br/>
      </w:r>
      <w:r>
        <w:t xml:space="preserve">In practical MATLAB form, this is just the idea</w:t>
      </w:r>
      <w:r>
        <w:br/>
      </w:r>
      <w:r>
        <w:rPr>
          <w:rStyle w:val="VerbatimChar"/>
        </w:rPr>
        <w:t xml:space="preserve">fitness = sum((y_measured - y_model(x)).^2) + penalties;</w:t>
      </w:r>
      <w:r>
        <w:br/>
      </w:r>
      <w:r>
        <w:t xml:space="preserve">where</w:t>
      </w:r>
      <w:r>
        <w:t xml:space="preserve"> </w:t>
      </w:r>
      <w:r>
        <w:rPr>
          <w:rStyle w:val="VerbatimChar"/>
        </w:rPr>
        <w:t xml:space="preserve">y_model(x)</w:t>
      </w:r>
      <w:r>
        <w:t xml:space="preserve"> </w:t>
      </w:r>
      <w:r>
        <w:t xml:space="preserve">is generated by your simplified forward model. This is the common structure across the shortlisted inverse papers.</w:t>
      </w:r>
      <w:r>
        <w:t xml:space="preserve"> </w:t>
      </w:r>
      <w:hyperlink r:id="rId28">
        <w:r>
          <w:rPr>
            <w:rStyle w:val="Hyperlink"/>
          </w:rPr>
          <w:t xml:space="preserve">[24]</w:t>
        </w:r>
      </w:hyperlink>
    </w:p>
    <w:p>
      <w:pPr>
        <w:numPr>
          <w:ilvl w:val="0"/>
          <w:numId w:val="1001"/>
        </w:numPr>
      </w:pPr>
      <w:r>
        <w:rPr>
          <w:b/>
          <w:bCs/>
        </w:rPr>
        <w:t xml:space="preserve">Use the simplest forward model that still preserves the inverse logic.</w:t>
      </w:r>
      <w:r>
        <w:br/>
      </w:r>
      <w:r>
        <w:t xml:space="preserve">For Sharifi/Brahami-style work, use an analytical NPW or simplified transient-arrival model.</w:t>
      </w:r>
      <w:r>
        <w:br/>
      </w:r>
      <w:r>
        <w:t xml:space="preserve">For Bermúdez/Díaz-Ortiz-style work, use a compact branch-network head-loss/continuity model.</w:t>
      </w:r>
      <w:r>
        <w:br/>
      </w:r>
      <w:r>
        <w:t xml:space="preserve">For Gómez-Coronel-style work, use a first-order chlorine-decay model over known residence times.</w:t>
      </w:r>
      <w:r>
        <w:t xml:space="preserve"> </w:t>
      </w:r>
      <w:hyperlink r:id="rId26">
        <w:r>
          <w:rPr>
            <w:rStyle w:val="Hyperlink"/>
          </w:rPr>
          <w:t xml:space="preserve">[25]</w:t>
        </w:r>
      </w:hyperlink>
    </w:p>
    <w:p>
      <w:pPr>
        <w:numPr>
          <w:ilvl w:val="0"/>
          <w:numId w:val="1001"/>
        </w:numPr>
      </w:pPr>
      <w:r>
        <w:rPr>
          <w:b/>
          <w:bCs/>
        </w:rPr>
        <w:t xml:space="preserve">Generate synthetic measurements first.</w:t>
      </w:r>
      <w:r>
        <w:br/>
      </w:r>
      <w:r>
        <w:t xml:space="preserve">Pick a known “true” parameter vector, simulate the pressures/flows/chlorine values, optionally add a small amount of noise, and check whether</w:t>
      </w:r>
      <w:r>
        <w:t xml:space="preserve"> </w:t>
      </w:r>
      <w:r>
        <w:rPr>
          <w:rStyle w:val="VerbatimChar"/>
        </w:rPr>
        <w:t xml:space="preserve">ga()</w:t>
      </w:r>
      <w:r>
        <w:t xml:space="preserve"> </w:t>
      </w:r>
      <w:r>
        <w:t xml:space="preserve">recovers the hidden parameters. This gives you a stable teaching or demo setup before you move to real data. The shortlisted papers all follow this same validation spirit, even when they later add experimental or field testing.</w:t>
      </w:r>
      <w:r>
        <w:t xml:space="preserve"> </w:t>
      </w:r>
      <w:hyperlink r:id="rId27">
        <w:r>
          <w:rPr>
            <w:rStyle w:val="Hyperlink"/>
          </w:rPr>
          <w:t xml:space="preserve">[26]</w:t>
        </w:r>
      </w:hyperlink>
    </w:p>
    <w:p>
      <w:pPr>
        <w:numPr>
          <w:ilvl w:val="0"/>
          <w:numId w:val="1001"/>
        </w:numPr>
      </w:pPr>
      <w:r>
        <w:rPr>
          <w:b/>
          <w:bCs/>
        </w:rPr>
        <w:t xml:space="preserve">Only after the single-objective version works should you consider a multiobjective extension.</w:t>
      </w:r>
      <w:r>
        <w:br/>
      </w:r>
      <w:r>
        <w:t xml:space="preserve">If you want a research upgrade, define</w:t>
      </w:r>
      <w:r>
        <w:t xml:space="preserve"> </w:t>
      </w:r>
      <w:r>
        <w:rPr>
          <w:rStyle w:val="VerbatimChar"/>
        </w:rPr>
        <w:t xml:space="preserve">f1 = data misfit</w:t>
      </w:r>
      <w:r>
        <w:t xml:space="preserve"> </w:t>
      </w:r>
      <w:r>
        <w:t xml:space="preserve">and</w:t>
      </w:r>
      <w:r>
        <w:t xml:space="preserve"> </w:t>
      </w:r>
      <w:r>
        <w:rPr>
          <w:rStyle w:val="VerbatimChar"/>
        </w:rPr>
        <w:t xml:space="preserve">f2 = operational burden</w:t>
      </w:r>
      <w:r>
        <w:t xml:space="preserve"> </w:t>
      </w:r>
      <w:r>
        <w:t xml:space="preserve">such as valve movement, source dosage, or regularization size, and then switch to</w:t>
      </w:r>
      <w:r>
        <w:t xml:space="preserve"> </w:t>
      </w:r>
      <w:r>
        <w:rPr>
          <w:rStyle w:val="VerbatimChar"/>
        </w:rPr>
        <w:t xml:space="preserve">gamultiobj()</w:t>
      </w:r>
      <w:r>
        <w:t xml:space="preserve">. That would be a valid MATLAB extension, but it would be your design choice rather than a direct clone of the strongest papers above.</w:t>
      </w:r>
      <w:r>
        <w:t xml:space="preserve"> </w:t>
      </w:r>
      <w:hyperlink r:id="rId34">
        <w:r>
          <w:rPr>
            <w:rStyle w:val="Hyperlink"/>
          </w:rPr>
          <w:t xml:space="preserve">[27]</w:t>
        </w:r>
      </w:hyperlink>
    </w:p>
    <w:bookmarkEnd w:id="35"/>
    <w:bookmarkStart w:id="36" w:name="open-questions-and-limitations"/>
    <w:p>
      <w:pPr>
        <w:pStyle w:val="Heading2"/>
      </w:pPr>
      <w:r>
        <w:t xml:space="preserve">Open questions and limitations</w:t>
      </w:r>
    </w:p>
    <w:p>
      <w:pPr>
        <w:pStyle w:val="FirstParagraph"/>
      </w:pPr>
      <w:r>
        <w:t xml:space="preserve">The public abstract for</w:t>
      </w:r>
      <w:r>
        <w:t xml:space="preserve"> </w:t>
      </w:r>
      <w:r>
        <w:rPr>
          <w:b/>
          <w:bCs/>
        </w:rPr>
        <w:t xml:space="preserve">Díaz-Ortiz et al. 2023</w:t>
      </w:r>
      <w:r>
        <w:t xml:space="preserve"> </w:t>
      </w:r>
      <w:r>
        <w:t xml:space="preserve">makes the calibration framework clear, but it does not expose the exact calibration vector or fitness expression in the same detail that the MDPI and Nature papers do.</w:t>
      </w:r>
      <w:r>
        <w:t xml:space="preserve"> </w:t>
      </w:r>
      <w:r>
        <w:rPr>
          <w:b/>
          <w:bCs/>
        </w:rPr>
        <w:t xml:space="preserve">Brahami et al. 2022/2023</w:t>
      </w:r>
      <w:r>
        <w:t xml:space="preserve"> </w:t>
      </w:r>
      <w:r>
        <w:t xml:space="preserve">is very strong conceptually, but the public abstract also leaves some implementation details implicit. Several otherwise useful papers in this area depend heavily on EPANET or other external simulators, which is why I ranked the transient inverse papers higher for a strict MATLAB-only adaptation. So, if your goal is a clean, copyable MATLAB inverse demo, the highest-confidence path is still</w:t>
      </w:r>
      <w:r>
        <w:t xml:space="preserve"> </w:t>
      </w:r>
      <w:r>
        <w:rPr>
          <w:b/>
          <w:bCs/>
        </w:rPr>
        <w:t xml:space="preserve">Sharifi 2025 first</w:t>
      </w:r>
      <w:r>
        <w:t xml:space="preserve">,</w:t>
      </w:r>
      <w:r>
        <w:t xml:space="preserve"> </w:t>
      </w:r>
      <w:r>
        <w:rPr>
          <w:b/>
          <w:bCs/>
        </w:rPr>
        <w:t xml:space="preserve">Brahami 2023 second</w:t>
      </w:r>
      <w:r>
        <w:t xml:space="preserve">, and</w:t>
      </w:r>
      <w:r>
        <w:t xml:space="preserve"> </w:t>
      </w:r>
      <w:r>
        <w:rPr>
          <w:b/>
          <w:bCs/>
        </w:rPr>
        <w:t xml:space="preserve">Bermúdez 2024 or Díaz-Ortiz 2023</w:t>
      </w:r>
      <w:r>
        <w:t xml:space="preserve"> </w:t>
      </w:r>
      <w:r>
        <w:t xml:space="preserve">for your network follow-up.</w:t>
      </w:r>
      <w:r>
        <w:t xml:space="preserve"> </w:t>
      </w:r>
      <w:hyperlink r:id="rId27">
        <w:r>
          <w:rPr>
            <w:rStyle w:val="Hyperlink"/>
          </w:rPr>
          <w:t xml:space="preserve">[28]</w:t>
        </w:r>
      </w:hyperlink>
    </w:p>
    <w:bookmarkEnd w:id="36"/>
    <w:bookmarkEnd w:id="37"/>
    <w:bookmarkEnd w:id="38"/>
    <w:p>
      <w:r>
        <w:pict>
          <v:rect style="width:0;height:1.5pt" o:hralign="center" o:hrstd="t" o:hr="t"/>
        </w:pict>
      </w:r>
    </w:p>
    <w:bookmarkStart w:id="39"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r>
        <w:t xml:space="preserve">https://www.mdpi.com/2078-2489/14/5/286</w:t>
      </w:r>
    </w:p>
    <w:p>
      <w:pPr>
        <w:pStyle w:val="BodyText"/>
      </w:pPr>
      <w:hyperlink r:id="rId21">
        <w:r>
          <w:rPr>
            <w:rStyle w:val="Hyperlink"/>
          </w:rPr>
          <w:t xml:space="preserve">https://www.mdpi.com/2078-2489/14/5/286</w:t>
        </w:r>
      </w:hyperlink>
    </w:p>
    <w:p>
      <w:pPr>
        <w:pStyle w:val="BodyText"/>
      </w:pPr>
      <w:hyperlink r:id="rId22">
        <w:r>
          <w:rPr>
            <w:rStyle w:val="Hyperlink"/>
          </w:rPr>
          <w:t xml:space="preserve">[2]</w:t>
        </w:r>
      </w:hyperlink>
      <w:r>
        <w:t xml:space="preserve"> </w:t>
      </w:r>
      <w:hyperlink r:id="rId22">
        <w:r>
          <w:rPr>
            <w:rStyle w:val="Hyperlink"/>
          </w:rPr>
          <w:t xml:space="preserve">[5]</w:t>
        </w:r>
      </w:hyperlink>
      <w:r>
        <w:t xml:space="preserve"> </w:t>
      </w:r>
      <w:hyperlink r:id="rId22">
        <w:r>
          <w:rPr>
            <w:rStyle w:val="Hyperlink"/>
          </w:rPr>
          <w:t xml:space="preserve">[22]</w:t>
        </w:r>
      </w:hyperlink>
      <w:r>
        <w:t xml:space="preserve"> </w:t>
      </w:r>
      <w:r>
        <w:t xml:space="preserve">https://www.mathworks.com/help/gads/ga.html</w:t>
      </w:r>
    </w:p>
    <w:p>
      <w:pPr>
        <w:pStyle w:val="BodyText"/>
      </w:pPr>
      <w:hyperlink r:id="rId22">
        <w:r>
          <w:rPr>
            <w:rStyle w:val="Hyperlink"/>
          </w:rPr>
          <w:t xml:space="preserve">https://www.mathworks.com/help/gads/ga.html</w:t>
        </w:r>
      </w:hyperlink>
    </w:p>
    <w:p>
      <w:pPr>
        <w:pStyle w:val="BodyText"/>
      </w:pPr>
      <w:hyperlink r:id="rId23">
        <w:r>
          <w:rPr>
            <w:rStyle w:val="Hyperlink"/>
          </w:rPr>
          <w:t xml:space="preserve">[3]</w:t>
        </w:r>
      </w:hyperlink>
      <w:r>
        <w:t xml:space="preserve"> </w:t>
      </w:r>
      <w:hyperlink r:id="rId23">
        <w:r>
          <w:rPr>
            <w:rStyle w:val="Hyperlink"/>
          </w:rPr>
          <w:t xml:space="preserve">[14]</w:t>
        </w:r>
      </w:hyperlink>
      <w:r>
        <w:t xml:space="preserve"> </w:t>
      </w:r>
      <w:hyperlink r:id="rId23">
        <w:r>
          <w:rPr>
            <w:rStyle w:val="Hyperlink"/>
          </w:rPr>
          <w:t xml:space="preserve">[18]</w:t>
        </w:r>
      </w:hyperlink>
      <w:r>
        <w:t xml:space="preserve"> </w:t>
      </w:r>
      <w:hyperlink r:id="rId23">
        <w:r>
          <w:rPr>
            <w:rStyle w:val="Hyperlink"/>
          </w:rPr>
          <w:t xml:space="preserve">[23]</w:t>
        </w:r>
      </w:hyperlink>
      <w:r>
        <w:t xml:space="preserve"> </w:t>
      </w:r>
      <w:r>
        <w:t xml:space="preserve">https://www.nature.com/articles/s41598-025-20525-5</w:t>
      </w:r>
    </w:p>
    <w:p>
      <w:pPr>
        <w:pStyle w:val="BodyText"/>
      </w:pPr>
      <w:hyperlink r:id="rId23">
        <w:r>
          <w:rPr>
            <w:rStyle w:val="Hyperlink"/>
          </w:rPr>
          <w:t xml:space="preserve">https://www.nature.com/articles/s41598-025-20525-5</w:t>
        </w:r>
      </w:hyperlink>
    </w:p>
    <w:p>
      <w:pPr>
        <w:pStyle w:val="BodyText"/>
      </w:pPr>
      <w:hyperlink r:id="rId26">
        <w:r>
          <w:rPr>
            <w:rStyle w:val="Hyperlink"/>
          </w:rPr>
          <w:t xml:space="preserve">[6]</w:t>
        </w:r>
      </w:hyperlink>
      <w:r>
        <w:t xml:space="preserve"> </w:t>
      </w:r>
      <w:hyperlink r:id="rId26">
        <w:r>
          <w:rPr>
            <w:rStyle w:val="Hyperlink"/>
          </w:rPr>
          <w:t xml:space="preserve">[7]</w:t>
        </w:r>
      </w:hyperlink>
      <w:r>
        <w:t xml:space="preserve"> </w:t>
      </w:r>
      <w:hyperlink r:id="rId26">
        <w:r>
          <w:rPr>
            <w:rStyle w:val="Hyperlink"/>
          </w:rPr>
          <w:t xml:space="preserve">[15]</w:t>
        </w:r>
      </w:hyperlink>
      <w:r>
        <w:t xml:space="preserve"> </w:t>
      </w:r>
      <w:hyperlink r:id="rId26">
        <w:r>
          <w:rPr>
            <w:rStyle w:val="Hyperlink"/>
          </w:rPr>
          <w:t xml:space="preserve">[16]</w:t>
        </w:r>
      </w:hyperlink>
      <w:r>
        <w:t xml:space="preserve"> </w:t>
      </w:r>
      <w:hyperlink r:id="rId26">
        <w:r>
          <w:rPr>
            <w:rStyle w:val="Hyperlink"/>
          </w:rPr>
          <w:t xml:space="preserve">[19]</w:t>
        </w:r>
      </w:hyperlink>
      <w:r>
        <w:t xml:space="preserve"> </w:t>
      </w:r>
      <w:hyperlink r:id="rId26">
        <w:r>
          <w:rPr>
            <w:rStyle w:val="Hyperlink"/>
          </w:rPr>
          <w:t xml:space="preserve">[25]</w:t>
        </w:r>
      </w:hyperlink>
      <w:r>
        <w:t xml:space="preserve"> </w:t>
      </w:r>
      <w:r>
        <w:t xml:space="preserve">https://link.springer.com/article/10.1007/s13369-022-06872-9</w:t>
      </w:r>
    </w:p>
    <w:p>
      <w:pPr>
        <w:pStyle w:val="BodyText"/>
      </w:pPr>
      <w:hyperlink r:id="rId26">
        <w:r>
          <w:rPr>
            <w:rStyle w:val="Hyperlink"/>
          </w:rPr>
          <w:t xml:space="preserve">https://link.springer.com/article/10.1007/s13369-022-06872-9</w:t>
        </w:r>
      </w:hyperlink>
    </w:p>
    <w:p>
      <w:pPr>
        <w:pStyle w:val="BodyText"/>
      </w:pPr>
      <w:hyperlink r:id="rId27">
        <w:r>
          <w:rPr>
            <w:rStyle w:val="Hyperlink"/>
          </w:rPr>
          <w:t xml:space="preserve">[8]</w:t>
        </w:r>
      </w:hyperlink>
      <w:r>
        <w:t xml:space="preserve"> </w:t>
      </w:r>
      <w:hyperlink r:id="rId27">
        <w:r>
          <w:rPr>
            <w:rStyle w:val="Hyperlink"/>
          </w:rPr>
          <w:t xml:space="preserve">[9]</w:t>
        </w:r>
      </w:hyperlink>
      <w:r>
        <w:t xml:space="preserve"> </w:t>
      </w:r>
      <w:hyperlink r:id="rId27">
        <w:r>
          <w:rPr>
            <w:rStyle w:val="Hyperlink"/>
          </w:rPr>
          <w:t xml:space="preserve">[26]</w:t>
        </w:r>
      </w:hyperlink>
      <w:r>
        <w:t xml:space="preserve"> </w:t>
      </w:r>
      <w:hyperlink r:id="rId27">
        <w:r>
          <w:rPr>
            <w:rStyle w:val="Hyperlink"/>
          </w:rPr>
          <w:t xml:space="preserve">[28]</w:t>
        </w:r>
      </w:hyperlink>
      <w:r>
        <w:t xml:space="preserve"> </w:t>
      </w:r>
      <w:r>
        <w:t xml:space="preserve">https://www.sciencedirect.com/science/article/pii/S2214714423005366</w:t>
      </w:r>
    </w:p>
    <w:p>
      <w:pPr>
        <w:pStyle w:val="BodyText"/>
      </w:pPr>
      <w:hyperlink r:id="rId27">
        <w:r>
          <w:rPr>
            <w:rStyle w:val="Hyperlink"/>
          </w:rPr>
          <w:t xml:space="preserve">https://www.sciencedirect.com/science/article/pii/S2214714423005366</w:t>
        </w:r>
      </w:hyperlink>
    </w:p>
    <w:p>
      <w:pPr>
        <w:pStyle w:val="BodyText"/>
      </w:pPr>
      <w:hyperlink r:id="rId28">
        <w:r>
          <w:rPr>
            <w:rStyle w:val="Hyperlink"/>
          </w:rPr>
          <w:t xml:space="preserve">[10]</w:t>
        </w:r>
      </w:hyperlink>
      <w:r>
        <w:t xml:space="preserve"> </w:t>
      </w:r>
      <w:hyperlink r:id="rId28">
        <w:r>
          <w:rPr>
            <w:rStyle w:val="Hyperlink"/>
          </w:rPr>
          <w:t xml:space="preserve">[11]</w:t>
        </w:r>
      </w:hyperlink>
      <w:r>
        <w:t xml:space="preserve"> </w:t>
      </w:r>
      <w:hyperlink r:id="rId28">
        <w:r>
          <w:rPr>
            <w:rStyle w:val="Hyperlink"/>
          </w:rPr>
          <w:t xml:space="preserve">[21]</w:t>
        </w:r>
      </w:hyperlink>
      <w:r>
        <w:t xml:space="preserve"> </w:t>
      </w:r>
      <w:hyperlink r:id="rId28">
        <w:r>
          <w:rPr>
            <w:rStyle w:val="Hyperlink"/>
          </w:rPr>
          <w:t xml:space="preserve">[24]</w:t>
        </w:r>
      </w:hyperlink>
      <w:r>
        <w:t xml:space="preserve"> </w:t>
      </w:r>
      <w:r>
        <w:t xml:space="preserve">https://www.mdpi.com/2227-9717/11/3/676</w:t>
      </w:r>
    </w:p>
    <w:p>
      <w:pPr>
        <w:pStyle w:val="BodyText"/>
      </w:pPr>
      <w:hyperlink r:id="rId28">
        <w:r>
          <w:rPr>
            <w:rStyle w:val="Hyperlink"/>
          </w:rPr>
          <w:t xml:space="preserve">https://www.mdpi.com/2227-9717/11/3/676</w:t>
        </w:r>
      </w:hyperlink>
    </w:p>
    <w:p>
      <w:pPr>
        <w:pStyle w:val="BodyText"/>
      </w:pPr>
      <w:hyperlink r:id="rId29">
        <w:r>
          <w:rPr>
            <w:rStyle w:val="Hyperlink"/>
          </w:rPr>
          <w:t xml:space="preserve">[12]</w:t>
        </w:r>
      </w:hyperlink>
      <w:r>
        <w:t xml:space="preserve"> </w:t>
      </w:r>
      <w:hyperlink r:id="rId29">
        <w:r>
          <w:rPr>
            <w:rStyle w:val="Hyperlink"/>
          </w:rPr>
          <w:t xml:space="preserve">[13]</w:t>
        </w:r>
      </w:hyperlink>
      <w:r>
        <w:t xml:space="preserve"> </w:t>
      </w:r>
      <w:hyperlink r:id="rId29">
        <w:r>
          <w:rPr>
            <w:rStyle w:val="Hyperlink"/>
          </w:rPr>
          <w:t xml:space="preserve">[17]</w:t>
        </w:r>
      </w:hyperlink>
      <w:r>
        <w:t xml:space="preserve"> </w:t>
      </w:r>
      <w:hyperlink r:id="rId29">
        <w:r>
          <w:rPr>
            <w:rStyle w:val="Hyperlink"/>
          </w:rPr>
          <w:t xml:space="preserve">[20]</w:t>
        </w:r>
      </w:hyperlink>
      <w:r>
        <w:t xml:space="preserve"> </w:t>
      </w:r>
      <w:r>
        <w:t xml:space="preserve">https://www.mdpi.com/2227-9717/12/9/1805</w:t>
      </w:r>
    </w:p>
    <w:p>
      <w:pPr>
        <w:pStyle w:val="BodyText"/>
      </w:pPr>
      <w:hyperlink r:id="rId29">
        <w:r>
          <w:rPr>
            <w:rStyle w:val="Hyperlink"/>
          </w:rPr>
          <w:t xml:space="preserve">https://www.mdpi.com/2227-9717/12/9/1805</w:t>
        </w:r>
      </w:hyperlink>
    </w:p>
    <w:p>
      <w:pPr>
        <w:pStyle w:val="BodyText"/>
      </w:pPr>
      <w:hyperlink r:id="rId34">
        <w:r>
          <w:rPr>
            <w:rStyle w:val="Hyperlink"/>
          </w:rPr>
          <w:t xml:space="preserve">[27]</w:t>
        </w:r>
      </w:hyperlink>
      <w:r>
        <w:t xml:space="preserve"> </w:t>
      </w:r>
      <w:r>
        <w:t xml:space="preserve">https://www.mathworks.com/help/gads/gamultiobj-algorithm.html</w:t>
      </w:r>
    </w:p>
    <w:p>
      <w:pPr>
        <w:pStyle w:val="BodyText"/>
      </w:pPr>
      <w:hyperlink r:id="rId34">
        <w:r>
          <w:rPr>
            <w:rStyle w:val="Hyperlink"/>
          </w:rPr>
          <w:t xml:space="preserve">https://www.mathworks.com/help/gads/gamultiobj-algorithm.html</w:t>
        </w:r>
      </w:hyperlink>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link.springer.com/article/10.1007/s13369-022-06872-9" TargetMode="External" /><Relationship Type="http://schemas.openxmlformats.org/officeDocument/2006/relationships/hyperlink" Id="rId22" Target="https://www.mathworks.com/help/gads/ga.html" TargetMode="External" /><Relationship Type="http://schemas.openxmlformats.org/officeDocument/2006/relationships/hyperlink" Id="rId34" Target="https://www.mathworks.com/help/gads/gamultiobj-algorithm.html" TargetMode="External" /><Relationship Type="http://schemas.openxmlformats.org/officeDocument/2006/relationships/hyperlink" Id="rId21" Target="https://www.mdpi.com/2078-2489/14/5/286" TargetMode="External" /><Relationship Type="http://schemas.openxmlformats.org/officeDocument/2006/relationships/hyperlink" Id="rId28" Target="https://www.mdpi.com/2227-9717/11/3/676" TargetMode="External" /><Relationship Type="http://schemas.openxmlformats.org/officeDocument/2006/relationships/hyperlink" Id="rId29" Target="https://www.mdpi.com/2227-9717/12/9/1805" TargetMode="External" /><Relationship Type="http://schemas.openxmlformats.org/officeDocument/2006/relationships/hyperlink" Id="rId23" Target="https://www.nature.com/articles/s41598-025-20525-5" TargetMode="External" /><Relationship Type="http://schemas.openxmlformats.org/officeDocument/2006/relationships/hyperlink" Id="rId27" Target="https://www.sciencedirect.com/science/article/pii/S2214714423005366" TargetMode="External" /></Relationships>
</file>

<file path=word/_rels/footnotes.xml.rels><?xml version="1.0" encoding="UTF-8"?><Relationships xmlns="http://schemas.openxmlformats.org/package/2006/relationships"><Relationship Type="http://schemas.openxmlformats.org/officeDocument/2006/relationships/hyperlink" Id="rId26" Target="https://link.springer.com/article/10.1007/s13369-022-06872-9" TargetMode="External" /><Relationship Type="http://schemas.openxmlformats.org/officeDocument/2006/relationships/hyperlink" Id="rId22" Target="https://www.mathworks.com/help/gads/ga.html" TargetMode="External" /><Relationship Type="http://schemas.openxmlformats.org/officeDocument/2006/relationships/hyperlink" Id="rId34" Target="https://www.mathworks.com/help/gads/gamultiobj-algorithm.html" TargetMode="External" /><Relationship Type="http://schemas.openxmlformats.org/officeDocument/2006/relationships/hyperlink" Id="rId21" Target="https://www.mdpi.com/2078-2489/14/5/286" TargetMode="External" /><Relationship Type="http://schemas.openxmlformats.org/officeDocument/2006/relationships/hyperlink" Id="rId28" Target="https://www.mdpi.com/2227-9717/11/3/676" TargetMode="External" /><Relationship Type="http://schemas.openxmlformats.org/officeDocument/2006/relationships/hyperlink" Id="rId29" Target="https://www.mdpi.com/2227-9717/12/9/1805" TargetMode="External" /><Relationship Type="http://schemas.openxmlformats.org/officeDocument/2006/relationships/hyperlink" Id="rId23" Target="https://www.nature.com/articles/s41598-025-20525-5" TargetMode="External" /><Relationship Type="http://schemas.openxmlformats.org/officeDocument/2006/relationships/hyperlink" Id="rId27" Target="https://www.sciencedirect.com/science/article/pii/S221471442300536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2026-04-28T06:47:38Z</dcterms:created>
  <dcterms:modified xsi:type="dcterms:W3CDTF">2026-04-28T06:47:38Z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