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32"/>
              </w:rPr>
              <w:t xml:space="preserve">Постановление Правительства РФ от 07.11.2005 N 655</w:t>
              <w:br/>
              <w:t xml:space="preserve">(ред. от 01.07.2025)</w:t>
              <w:br/>
              <w:t xml:space="preserve">"О порядке функционирования накопительно-ипотечной системы жилищного обеспечения военнослужащих"</w:t>
              <w:br/>
              <w:t xml:space="preserve">(вместе с "Правилами ведения именных накопительных счетов участников накопительно-ипотечной системы жилищного обеспечения военнослужащих", "Правилами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специализированном депозитарии, а также о состоянии именных накопительных счетов участников накопительно-ипотечной системы жилищного обеспечения военнослужащих", "Правилами формирования накоплений для жилищного обеспечения и учета их на именных накопительных счетах участников накопительно-ипотечной системы жилищного обеспечения военнослужащих", "Правилами использования накоплений для жилищного обеспечения военнослужащих", "Правилами раскрытия информации о формировании, об инвестировании и использовании накоплений для жилищного обеспечения военнослужащих")</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14.10.2025</w:t>
            </w:r>
            <w:r>
              <w:rPr>
                <w:sz w:val="28"/>
              </w:rPr>
              <w:br/>
              <w:t xml:space="preserve"> </w:t>
            </w:r>
          </w:p>
        </w:tc>
      </w:tr>
    </w:tbl>
    <w:p>
      <w:pPr>
        <w:sectPr>
          <w:pgSz w:w="11906" w:h="16838"/>
          <w:pgMar w:top="841" w:right="595" w:bottom="841" w:left="595" w:header="0" w:footer="0" w:gutter="0"/>
          <w:titlePg/>
        </w:sectPr>
      </w:pPr>
    </w:p>
    <w:p>
      <w:pPr>
        <w:pStyle w:val="0"/>
        <w:outlineLvl w:val="0"/>
        <w:ind w:firstLine="540"/>
        <w:jc w:val="both"/>
      </w:pPr>
      <w:r>
        <w:rPr>
          <w:sz w:val="24"/>
        </w:rPr>
      </w:r>
    </w:p>
    <w:p>
      <w:pPr>
        <w:pStyle w:val="2"/>
        <w:outlineLvl w:val="0"/>
        <w:jc w:val="center"/>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7 ноября 2005 г. N 655</w:t>
      </w:r>
    </w:p>
    <w:p>
      <w:pPr>
        <w:pStyle w:val="2"/>
        <w:jc w:val="center"/>
      </w:pPr>
      <w:r>
        <w:rPr>
          <w:sz w:val="24"/>
        </w:rPr>
      </w:r>
    </w:p>
    <w:p>
      <w:pPr>
        <w:pStyle w:val="2"/>
        <w:jc w:val="center"/>
      </w:pPr>
      <w:r>
        <w:rPr>
          <w:sz w:val="24"/>
        </w:rPr>
        <w:t xml:space="preserve">О ПОРЯДКЕ ФУНКЦИОНИРОВАНИЯ НАКОПИТЕЛЬНО-ИПОТЕЧНОЙ СИСТЕМЫ</w:t>
      </w:r>
    </w:p>
    <w:p>
      <w:pPr>
        <w:pStyle w:val="2"/>
        <w:jc w:val="center"/>
      </w:pPr>
      <w:r>
        <w:rPr>
          <w:sz w:val="24"/>
        </w:rPr>
        <w:t xml:space="preserve">ЖИЛИЩНОГО ОБЕСПЕЧЕНИЯ ВОЕННОСЛУЖАЩИХ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17.10.2006 </w:t>
            </w:r>
            <w:hyperlink w:history="0" r:id="rId7" w:tooltip="Постановление Правительства РФ от 17.10.2006 N 614 &quot;О внесении изменений в Постановление Правительства Российской Федерации от 7 ноября 2005 г. N 655&quot; {КонсультантПлюс}">
              <w:r>
                <w:rPr>
                  <w:sz w:val="24"/>
                  <w:color w:val="0000ff"/>
                </w:rPr>
                <w:t xml:space="preserve">N 614</w:t>
              </w:r>
            </w:hyperlink>
            <w:r>
              <w:rPr>
                <w:sz w:val="24"/>
                <w:color w:val="392c69"/>
              </w:rPr>
              <w:t xml:space="preserve">,</w:t>
            </w:r>
          </w:p>
          <w:p>
            <w:pPr>
              <w:pStyle w:val="0"/>
              <w:jc w:val="center"/>
            </w:pPr>
            <w:r>
              <w:rPr>
                <w:sz w:val="24"/>
                <w:color w:val="392c69"/>
              </w:rPr>
              <w:t xml:space="preserve">от 15.05.2008 </w:t>
            </w:r>
            <w:hyperlink w:history="0" r:id="rId8"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370</w:t>
              </w:r>
            </w:hyperlink>
            <w:r>
              <w:rPr>
                <w:sz w:val="24"/>
                <w:color w:val="392c69"/>
              </w:rPr>
              <w:t xml:space="preserve">, от 31.01.2009 </w:t>
            </w:r>
            <w:hyperlink w:history="0" r:id="rId9"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color w:val="392c69"/>
              </w:rPr>
              <w:t xml:space="preserve">, от 26.01.2012 </w:t>
            </w:r>
            <w:hyperlink w:history="0" r:id="rId10"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23</w:t>
              </w:r>
            </w:hyperlink>
            <w:r>
              <w:rPr>
                <w:sz w:val="24"/>
                <w:color w:val="392c69"/>
              </w:rPr>
              <w:t xml:space="preserve">,</w:t>
            </w:r>
          </w:p>
          <w:p>
            <w:pPr>
              <w:pStyle w:val="0"/>
              <w:jc w:val="center"/>
            </w:pPr>
            <w:r>
              <w:rPr>
                <w:sz w:val="24"/>
                <w:color w:val="392c69"/>
              </w:rPr>
              <w:t xml:space="preserve">от 17.09.2013 </w:t>
            </w:r>
            <w:hyperlink w:history="0" r:id="rId11"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color w:val="392c69"/>
              </w:rPr>
              <w:t xml:space="preserve">, от 18.02.2016 </w:t>
            </w:r>
            <w:hyperlink w:history="0" r:id="rId12" w:tooltip="Постановление Правительства РФ от 18.02.2016 N 115 &quot;О внесении изменений в Правила формирования накоплений для жилищного обеспечения и учета их на именных накопительных счетах участников накопительно-ипотечной системы жилищного обеспечения военнослужащих&quot; {КонсультантПлюс}">
              <w:r>
                <w:rPr>
                  <w:sz w:val="24"/>
                  <w:color w:val="0000ff"/>
                </w:rPr>
                <w:t xml:space="preserve">N 115</w:t>
              </w:r>
            </w:hyperlink>
            <w:r>
              <w:rPr>
                <w:sz w:val="24"/>
                <w:color w:val="392c69"/>
              </w:rPr>
              <w:t xml:space="preserve">, от 12.11.2016 </w:t>
            </w:r>
            <w:hyperlink w:history="0" r:id="rId13"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color w:val="392c69"/>
              </w:rPr>
              <w:t xml:space="preserve">,</w:t>
            </w:r>
          </w:p>
          <w:p>
            <w:pPr>
              <w:pStyle w:val="0"/>
              <w:jc w:val="center"/>
            </w:pPr>
            <w:r>
              <w:rPr>
                <w:sz w:val="24"/>
                <w:color w:val="392c69"/>
              </w:rPr>
              <w:t xml:space="preserve">от 29.12.2016 </w:t>
            </w:r>
            <w:hyperlink w:history="0" r:id="rId1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 от 08.09.2017 </w:t>
            </w:r>
            <w:hyperlink w:history="0" r:id="rId15"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color w:val="392c69"/>
              </w:rPr>
              <w:t xml:space="preserve">, от 27.05.2020 </w:t>
            </w:r>
            <w:hyperlink w:history="0" r:id="rId16"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color w:val="392c69"/>
              </w:rPr>
              <w:t xml:space="preserve">,</w:t>
            </w:r>
          </w:p>
          <w:p>
            <w:pPr>
              <w:pStyle w:val="0"/>
              <w:jc w:val="center"/>
            </w:pPr>
            <w:r>
              <w:rPr>
                <w:sz w:val="24"/>
                <w:color w:val="392c69"/>
              </w:rPr>
              <w:t xml:space="preserve">от 01.11.2022 </w:t>
            </w:r>
            <w:hyperlink w:history="0" r:id="rId1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color w:val="392c69"/>
              </w:rPr>
              <w:t xml:space="preserve">, от 10.11.2022 </w:t>
            </w:r>
            <w:hyperlink w:history="0" r:id="rId18" w:tooltip="Постановление Правительства РФ от 10.11.2022 N 2041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2041</w:t>
              </w:r>
            </w:hyperlink>
            <w:r>
              <w:rPr>
                <w:sz w:val="24"/>
                <w:color w:val="392c69"/>
              </w:rPr>
              <w:t xml:space="preserve">, от 17.05.2023 </w:t>
            </w:r>
            <w:hyperlink w:history="0" r:id="rId1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color w:val="392c69"/>
              </w:rPr>
              <w:t xml:space="preserve">,</w:t>
            </w:r>
          </w:p>
          <w:p>
            <w:pPr>
              <w:pStyle w:val="0"/>
              <w:jc w:val="center"/>
            </w:pPr>
            <w:r>
              <w:rPr>
                <w:sz w:val="24"/>
                <w:color w:val="392c69"/>
              </w:rPr>
              <w:t xml:space="preserve">от 20.09.2023 </w:t>
            </w:r>
            <w:hyperlink w:history="0" r:id="rId20" w:tooltip="Постановление Правительства РФ от 20.09.2023 N 1530 &quot;О внесении изменений в постановление Правительства Российской Федерации от 7 ноября 2005 г. N 655&quot; {КонсультантПлюс}">
              <w:r>
                <w:rPr>
                  <w:sz w:val="24"/>
                  <w:color w:val="0000ff"/>
                </w:rPr>
                <w:t xml:space="preserve">N 1530</w:t>
              </w:r>
            </w:hyperlink>
            <w:r>
              <w:rPr>
                <w:sz w:val="24"/>
                <w:color w:val="392c69"/>
              </w:rPr>
              <w:t xml:space="preserve">, от 25.02.2025 </w:t>
            </w:r>
            <w:hyperlink w:history="0" r:id="rId21" w:tooltip="Постановление Правительства РФ от 25.02.2025 N 216 &quot;О внесении изменений в постановление Правительства Российской Федерации от 7 ноября 2005 г. N 655&quot; {КонсультантПлюс}">
              <w:r>
                <w:rPr>
                  <w:sz w:val="24"/>
                  <w:color w:val="0000ff"/>
                </w:rPr>
                <w:t xml:space="preserve">N 216</w:t>
              </w:r>
            </w:hyperlink>
            <w:r>
              <w:rPr>
                <w:sz w:val="24"/>
                <w:color w:val="392c69"/>
              </w:rPr>
              <w:t xml:space="preserve">, от 01.07.2025 </w:t>
            </w:r>
            <w:hyperlink w:history="0" r:id="rId22"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целях реализации </w:t>
      </w:r>
      <w:hyperlink w:history="0" r:id="rId2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статей 5,</w:t>
        </w:r>
      </w:hyperlink>
      <w:r>
        <w:rPr>
          <w:sz w:val="24"/>
        </w:rPr>
        <w:t xml:space="preserve"> </w:t>
      </w:r>
      <w:hyperlink w:history="0" r:id="rId2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7,</w:t>
        </w:r>
      </w:hyperlink>
      <w:r>
        <w:rPr>
          <w:sz w:val="24"/>
        </w:rPr>
        <w:t xml:space="preserve"> </w:t>
      </w:r>
      <w:hyperlink w:history="0" r:id="rId2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13</w:t>
        </w:r>
      </w:hyperlink>
      <w:r>
        <w:rPr>
          <w:sz w:val="24"/>
        </w:rPr>
        <w:t xml:space="preserve"> и </w:t>
      </w:r>
      <w:hyperlink w:history="0" r:id="rId2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14</w:t>
        </w:r>
      </w:hyperlink>
      <w:r>
        <w:rPr>
          <w:sz w:val="24"/>
        </w:rPr>
        <w:t xml:space="preserve"> Федерального закона "О накопительно-ипотечной системе жилищного обеспечения военнослужащих" Правительство Российской Федерации постановляет:</w:t>
      </w:r>
    </w:p>
    <w:p>
      <w:pPr>
        <w:pStyle w:val="0"/>
        <w:spacing w:before="240" w:line-rule="auto"/>
        <w:ind w:firstLine="540"/>
        <w:jc w:val="both"/>
      </w:pPr>
      <w:r>
        <w:rPr>
          <w:sz w:val="24"/>
        </w:rPr>
        <w:t xml:space="preserve">1. Установить, что порядок функционирования накопительно-ипотечной системы жилищного обеспечения военнослужащих включает в себя:</w:t>
      </w:r>
    </w:p>
    <w:p>
      <w:pPr>
        <w:pStyle w:val="0"/>
        <w:spacing w:before="240" w:line-rule="auto"/>
        <w:ind w:firstLine="540"/>
        <w:jc w:val="both"/>
      </w:pPr>
      <w:r>
        <w:rPr>
          <w:sz w:val="24"/>
        </w:rPr>
        <w:t xml:space="preserve">а) </w:t>
      </w:r>
      <w:hyperlink w:history="0" w:anchor="P55" w:tooltip="ПРАВИЛА">
        <w:r>
          <w:rPr>
            <w:sz w:val="24"/>
            <w:color w:val="0000ff"/>
          </w:rPr>
          <w:t xml:space="preserve">порядок</w:t>
        </w:r>
      </w:hyperlink>
      <w:r>
        <w:rPr>
          <w:sz w:val="24"/>
        </w:rPr>
        <w:t xml:space="preserve"> ведения именных накопительных счетов участников накопительно-ипотечной системы жилищного обеспечения военнослужащих;</w:t>
      </w:r>
    </w:p>
    <w:p>
      <w:pPr>
        <w:pStyle w:val="0"/>
        <w:spacing w:before="240" w:line-rule="auto"/>
        <w:ind w:firstLine="540"/>
        <w:jc w:val="both"/>
      </w:pPr>
      <w:r>
        <w:rPr>
          <w:sz w:val="24"/>
        </w:rPr>
        <w:t xml:space="preserve">б) </w:t>
      </w:r>
      <w:hyperlink w:history="0" w:anchor="P118" w:tooltip="ПРАВИЛА">
        <w:r>
          <w:rPr>
            <w:sz w:val="24"/>
            <w:color w:val="0000ff"/>
          </w:rPr>
          <w:t xml:space="preserve">порядок</w:t>
        </w:r>
      </w:hyperlink>
      <w:r>
        <w:rPr>
          <w:sz w:val="24"/>
        </w:rPr>
        <w:t xml:space="preserve">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специализированном депозитарии, а также о состоянии именных накопительных счетов участников накопительно-ипотечной системы жилищного обеспечения военнослужащих;</w:t>
      </w:r>
    </w:p>
    <w:p>
      <w:pPr>
        <w:pStyle w:val="0"/>
        <w:spacing w:before="240" w:line-rule="auto"/>
        <w:ind w:firstLine="540"/>
        <w:jc w:val="both"/>
      </w:pPr>
      <w:r>
        <w:rPr>
          <w:sz w:val="24"/>
        </w:rPr>
        <w:t xml:space="preserve">в) </w:t>
      </w:r>
      <w:hyperlink w:history="0" w:anchor="P152" w:tooltip="ПРАВИЛА">
        <w:r>
          <w:rPr>
            <w:sz w:val="24"/>
            <w:color w:val="0000ff"/>
          </w:rPr>
          <w:t xml:space="preserve">порядок</w:t>
        </w:r>
      </w:hyperlink>
      <w:r>
        <w:rPr>
          <w:sz w:val="24"/>
        </w:rPr>
        <w:t xml:space="preserve"> формирования накоплений для жилищного обеспечения и учета их на именных накопительных счетах участников накопительно-ипотечной системы жилищного обеспечения военнослужащих;</w:t>
      </w:r>
    </w:p>
    <w:p>
      <w:pPr>
        <w:pStyle w:val="0"/>
        <w:spacing w:before="240" w:line-rule="auto"/>
        <w:ind w:firstLine="540"/>
        <w:jc w:val="both"/>
      </w:pPr>
      <w:r>
        <w:rPr>
          <w:sz w:val="24"/>
        </w:rPr>
        <w:t xml:space="preserve">г) </w:t>
      </w:r>
      <w:hyperlink w:history="0" w:anchor="P232" w:tooltip="ПРАВИЛА">
        <w:r>
          <w:rPr>
            <w:sz w:val="24"/>
            <w:color w:val="0000ff"/>
          </w:rPr>
          <w:t xml:space="preserve">порядок и условия</w:t>
        </w:r>
      </w:hyperlink>
      <w:r>
        <w:rPr>
          <w:sz w:val="24"/>
        </w:rPr>
        <w:t xml:space="preserve"> использования накоплений для жилищного обеспечения военнослужащих;</w:t>
      </w:r>
    </w:p>
    <w:p>
      <w:pPr>
        <w:pStyle w:val="0"/>
        <w:spacing w:before="240" w:line-rule="auto"/>
        <w:ind w:firstLine="540"/>
        <w:jc w:val="both"/>
      </w:pPr>
      <w:r>
        <w:rPr>
          <w:sz w:val="24"/>
        </w:rPr>
        <w:t xml:space="preserve">д) </w:t>
      </w:r>
      <w:hyperlink w:history="0" w:anchor="P362" w:tooltip="ПРАВИЛА">
        <w:r>
          <w:rPr>
            <w:sz w:val="24"/>
            <w:color w:val="0000ff"/>
          </w:rPr>
          <w:t xml:space="preserve">порядок</w:t>
        </w:r>
      </w:hyperlink>
      <w:r>
        <w:rPr>
          <w:sz w:val="24"/>
        </w:rPr>
        <w:t xml:space="preserve"> и </w:t>
      </w:r>
      <w:hyperlink w:history="0" w:anchor="P382" w:tooltip="6. Уполномоченный федеральный орган раскрывает информацию, указанную в пункте 5 настоящих Правил, ежегодно, до 1 апреля года, следующего за отчетным, после представления соответствующих отчетов в Правительство Российской Федерации.">
        <w:r>
          <w:rPr>
            <w:sz w:val="24"/>
            <w:color w:val="0000ff"/>
          </w:rPr>
          <w:t xml:space="preserve">сроки</w:t>
        </w:r>
      </w:hyperlink>
      <w:r>
        <w:rPr>
          <w:sz w:val="24"/>
        </w:rPr>
        <w:t xml:space="preserve"> раскрытия информации о формировании, об инвестировании и использовании накоплений для жилищного обеспечения военнослужащих;</w:t>
      </w:r>
    </w:p>
    <w:p>
      <w:pPr>
        <w:pStyle w:val="0"/>
        <w:spacing w:before="240" w:line-rule="auto"/>
        <w:ind w:firstLine="540"/>
        <w:jc w:val="both"/>
      </w:pPr>
      <w:r>
        <w:rPr>
          <w:sz w:val="24"/>
        </w:rPr>
        <w:t xml:space="preserve">е) </w:t>
      </w:r>
      <w:hyperlink w:history="0" r:id="rId27"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порядок и условия</w:t>
        </w:r>
      </w:hyperlink>
      <w:r>
        <w:rPr>
          <w:sz w:val="24"/>
        </w:rPr>
        <w:t xml:space="preserve"> предоставления участникам накопительно-ипотечной системы жилищного обеспечения военнослужащих целевых жилищных займов (включая типовой договор целевого жилищного займа, предоставляемого участнику накопительно-ипотечной системы жилищного обеспечения военнослужащих), а также погашения целевых жилищных займов;</w:t>
      </w:r>
    </w:p>
    <w:p>
      <w:pPr>
        <w:pStyle w:val="0"/>
        <w:spacing w:before="240" w:line-rule="auto"/>
        <w:ind w:firstLine="540"/>
        <w:jc w:val="both"/>
      </w:pPr>
      <w:r>
        <w:rPr>
          <w:sz w:val="24"/>
        </w:rPr>
        <w:t xml:space="preserve">ж) порядок оформления ипотеки в отношении участников накопительно-ипотечной системы жилищного обеспечения военнослужащих;</w:t>
      </w:r>
    </w:p>
    <w:p>
      <w:pPr>
        <w:pStyle w:val="0"/>
        <w:spacing w:before="240" w:line-rule="auto"/>
        <w:ind w:firstLine="540"/>
        <w:jc w:val="both"/>
      </w:pPr>
      <w:r>
        <w:rPr>
          <w:sz w:val="24"/>
        </w:rPr>
        <w:t xml:space="preserve">з) исключен. - </w:t>
      </w:r>
      <w:hyperlink w:history="0" r:id="rId28"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Постановление</w:t>
        </w:r>
      </w:hyperlink>
      <w:r>
        <w:rPr>
          <w:sz w:val="24"/>
        </w:rPr>
        <w:t xml:space="preserve"> Правительства РФ от 15.05.2008 N 370.</w:t>
      </w:r>
    </w:p>
    <w:p>
      <w:pPr>
        <w:pStyle w:val="0"/>
        <w:spacing w:before="240" w:line-rule="auto"/>
        <w:ind w:firstLine="540"/>
        <w:jc w:val="both"/>
      </w:pPr>
      <w:r>
        <w:rPr>
          <w:sz w:val="24"/>
        </w:rPr>
        <w:t xml:space="preserve">2. Утвердить прилагаемые:</w:t>
      </w:r>
    </w:p>
    <w:p>
      <w:pPr>
        <w:pStyle w:val="0"/>
        <w:spacing w:before="240" w:line-rule="auto"/>
        <w:ind w:firstLine="540"/>
        <w:jc w:val="both"/>
      </w:pPr>
      <w:hyperlink w:history="0" w:anchor="P55" w:tooltip="ПРАВИЛА">
        <w:r>
          <w:rPr>
            <w:sz w:val="24"/>
            <w:color w:val="0000ff"/>
          </w:rPr>
          <w:t xml:space="preserve">Правила</w:t>
        </w:r>
      </w:hyperlink>
      <w:r>
        <w:rPr>
          <w:sz w:val="24"/>
        </w:rPr>
        <w:t xml:space="preserve"> ведения именных накопительных счетов участников накопительно-ипотечной системы жилищного обеспечения военнослужащих;</w:t>
      </w:r>
    </w:p>
    <w:p>
      <w:pPr>
        <w:pStyle w:val="0"/>
        <w:spacing w:before="240" w:line-rule="auto"/>
        <w:ind w:firstLine="540"/>
        <w:jc w:val="both"/>
      </w:pPr>
      <w:hyperlink w:history="0" w:anchor="P118" w:tooltip="ПРАВИЛА">
        <w:r>
          <w:rPr>
            <w:sz w:val="24"/>
            <w:color w:val="0000ff"/>
          </w:rPr>
          <w:t xml:space="preserve">Правила</w:t>
        </w:r>
      </w:hyperlink>
      <w:r>
        <w:rPr>
          <w:sz w:val="24"/>
        </w:rPr>
        <w:t xml:space="preserve">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специализированном депозитарии, а также о состоянии именных накопительных счетов участников накопительно-ипотечной системы жилищного обеспечения военнослужащих;</w:t>
      </w:r>
    </w:p>
    <w:p>
      <w:pPr>
        <w:pStyle w:val="0"/>
        <w:spacing w:before="240" w:line-rule="auto"/>
        <w:ind w:firstLine="540"/>
        <w:jc w:val="both"/>
      </w:pPr>
      <w:hyperlink w:history="0" w:anchor="P152" w:tooltip="ПРАВИЛА">
        <w:r>
          <w:rPr>
            <w:sz w:val="24"/>
            <w:color w:val="0000ff"/>
          </w:rPr>
          <w:t xml:space="preserve">Правила</w:t>
        </w:r>
      </w:hyperlink>
      <w:r>
        <w:rPr>
          <w:sz w:val="24"/>
        </w:rPr>
        <w:t xml:space="preserve"> формирования накоплений для жилищного обеспечения и учета их на именных накопительных счетах участников накопительно-ипотечной системы жилищного обеспечения военнослужащих;</w:t>
      </w:r>
    </w:p>
    <w:p>
      <w:pPr>
        <w:pStyle w:val="0"/>
        <w:spacing w:before="240" w:line-rule="auto"/>
        <w:ind w:firstLine="540"/>
        <w:jc w:val="both"/>
      </w:pPr>
      <w:hyperlink w:history="0" w:anchor="P232" w:tooltip="ПРАВИЛА">
        <w:r>
          <w:rPr>
            <w:sz w:val="24"/>
            <w:color w:val="0000ff"/>
          </w:rPr>
          <w:t xml:space="preserve">Правила</w:t>
        </w:r>
      </w:hyperlink>
      <w:r>
        <w:rPr>
          <w:sz w:val="24"/>
        </w:rPr>
        <w:t xml:space="preserve"> использования накоплений для жилищного обеспечения военнослужащих;</w:t>
      </w:r>
    </w:p>
    <w:p>
      <w:pPr>
        <w:pStyle w:val="0"/>
        <w:jc w:val="both"/>
      </w:pPr>
      <w:r>
        <w:rPr>
          <w:sz w:val="24"/>
        </w:rPr>
        <w:t xml:space="preserve">(абзац введен </w:t>
      </w:r>
      <w:hyperlink w:history="0" r:id="rId29" w:tooltip="Постановление Правительства РФ от 17.10.2006 N 614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Постановлением</w:t>
        </w:r>
      </w:hyperlink>
      <w:r>
        <w:rPr>
          <w:sz w:val="24"/>
        </w:rPr>
        <w:t xml:space="preserve"> Правительства РФ от 17.10.2006 N 614)</w:t>
      </w:r>
    </w:p>
    <w:p>
      <w:pPr>
        <w:pStyle w:val="0"/>
        <w:spacing w:before="240" w:line-rule="auto"/>
        <w:ind w:firstLine="540"/>
        <w:jc w:val="both"/>
      </w:pPr>
      <w:hyperlink w:history="0" w:anchor="P362" w:tooltip="ПРАВИЛА">
        <w:r>
          <w:rPr>
            <w:sz w:val="24"/>
            <w:color w:val="0000ff"/>
          </w:rPr>
          <w:t xml:space="preserve">Правила</w:t>
        </w:r>
      </w:hyperlink>
      <w:r>
        <w:rPr>
          <w:sz w:val="24"/>
        </w:rPr>
        <w:t xml:space="preserve"> раскрытия информации о формировании, об инвестировании и использовании накоплений для жилищного обеспечения военнослужащих.</w:t>
      </w:r>
    </w:p>
    <w:p>
      <w:pPr>
        <w:pStyle w:val="0"/>
        <w:jc w:val="both"/>
      </w:pPr>
      <w:r>
        <w:rPr>
          <w:sz w:val="24"/>
        </w:rPr>
        <w:t xml:space="preserve">(абзац введен </w:t>
      </w:r>
      <w:hyperlink w:history="0" r:id="rId30" w:tooltip="Постановление Правительства РФ от 17.10.2006 N 614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Постановлением</w:t>
        </w:r>
      </w:hyperlink>
      <w:r>
        <w:rPr>
          <w:sz w:val="24"/>
        </w:rPr>
        <w:t xml:space="preserve"> Правительства РФ от 17.10.2006 N 614)</w:t>
      </w:r>
    </w:p>
    <w:p>
      <w:pPr>
        <w:pStyle w:val="0"/>
        <w:spacing w:before="240" w:line-rule="auto"/>
        <w:ind w:firstLine="540"/>
        <w:jc w:val="both"/>
      </w:pPr>
      <w:r>
        <w:rPr>
          <w:sz w:val="24"/>
        </w:rPr>
        <w:t xml:space="preserve">3. Министерству обороны Российской Федерации совместно с федеральными органами исполнительной власти, в которых федеральным </w:t>
      </w:r>
      <w:hyperlink w:history="0" r:id="rId31" w:tooltip="Федеральный закон от 28.03.1998 N 53-ФЗ (ред. от 29.09.2025) &quot;О воинской обязанности и военной службе&quot; {КонсультантПлюс}">
        <w:r>
          <w:rPr>
            <w:sz w:val="24"/>
            <w:color w:val="0000ff"/>
          </w:rPr>
          <w:t xml:space="preserve">законом</w:t>
        </w:r>
      </w:hyperlink>
      <w:r>
        <w:rPr>
          <w:sz w:val="24"/>
        </w:rPr>
        <w:t xml:space="preserve"> предусмотрена военная служба, в 2-месячный срок представить в установленном порядке согласованный с Министерством финансов Российской Федерации, Министерством экономического развития и торговли Российской Федерации, Министерством регионального развития Российской Федерации, Федеральной службой по финансовым рынкам и Министерством юстиции Российской Федерации проект постановления Правительства Российской Федерации по следующим вопросам:</w:t>
      </w:r>
    </w:p>
    <w:p>
      <w:pPr>
        <w:pStyle w:val="0"/>
        <w:spacing w:before="240" w:line-rule="auto"/>
        <w:ind w:firstLine="540"/>
        <w:jc w:val="both"/>
      </w:pPr>
      <w:r>
        <w:rPr>
          <w:sz w:val="24"/>
        </w:rPr>
        <w:t xml:space="preserve">а) использование накоплений для жилищного обеспечения военнослужащих;</w:t>
      </w:r>
    </w:p>
    <w:p>
      <w:pPr>
        <w:pStyle w:val="0"/>
        <w:spacing w:before="240" w:line-rule="auto"/>
        <w:ind w:firstLine="540"/>
        <w:jc w:val="both"/>
      </w:pPr>
      <w:r>
        <w:rPr>
          <w:sz w:val="24"/>
        </w:rPr>
        <w:t xml:space="preserve">б) раскрытие информации о формировании, об инвестировании и использовании накоплений для жилищного обеспечения военнослужащих;</w:t>
      </w:r>
    </w:p>
    <w:p>
      <w:pPr>
        <w:pStyle w:val="0"/>
        <w:spacing w:before="240" w:line-rule="auto"/>
        <w:ind w:firstLine="540"/>
        <w:jc w:val="both"/>
      </w:pPr>
      <w:r>
        <w:rPr>
          <w:sz w:val="24"/>
        </w:rPr>
        <w:t xml:space="preserve">в) предоставление участникам накопительно-ипотечной системы жилищного обеспечения военнослужащих целевых жилищных займов (включая типовой договор целевого жилищного займа, предоставляемого участнику накопительно-ипотечной системы жилищного обеспечения военнослужащих), а также погашение целевых жилищных займов;</w:t>
      </w:r>
    </w:p>
    <w:p>
      <w:pPr>
        <w:pStyle w:val="0"/>
        <w:spacing w:before="240" w:line-rule="auto"/>
        <w:ind w:firstLine="540"/>
        <w:jc w:val="both"/>
      </w:pPr>
      <w:r>
        <w:rPr>
          <w:sz w:val="24"/>
        </w:rPr>
        <w:t xml:space="preserve">г) оформление ипотеки в отношении участников накопительно-ипотечной системы жилищного обеспечения военнослужащих;</w:t>
      </w:r>
    </w:p>
    <w:p>
      <w:pPr>
        <w:pStyle w:val="0"/>
        <w:spacing w:before="240" w:line-rule="auto"/>
        <w:ind w:firstLine="540"/>
        <w:jc w:val="both"/>
      </w:pPr>
      <w:r>
        <w:rPr>
          <w:sz w:val="24"/>
        </w:rPr>
        <w:t xml:space="preserve">д) истребование от управляющих компаний уполномоченным федеральным органом исполнительной власти, обеспечивающим функционирование накопительно-ипотечной системы, накоплений для жилищного обеспечения военнослужащих.</w:t>
      </w:r>
    </w:p>
    <w:p>
      <w:pPr>
        <w:pStyle w:val="0"/>
        <w:jc w:val="both"/>
      </w:pPr>
      <w:r>
        <w:rPr>
          <w:sz w:val="24"/>
        </w:rPr>
        <w:t xml:space="preserve">(пп. "д" введен </w:t>
      </w:r>
      <w:hyperlink w:history="0" r:id="rId32" w:tooltip="Постановление Правительства РФ от 17.10.2006 N 614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Постановлением</w:t>
        </w:r>
      </w:hyperlink>
      <w:r>
        <w:rPr>
          <w:sz w:val="24"/>
        </w:rPr>
        <w:t xml:space="preserve"> Правительства РФ от 17.10.2006 N 614)</w:t>
      </w:r>
    </w:p>
    <w:p>
      <w:pPr>
        <w:pStyle w:val="0"/>
        <w:ind w:firstLine="54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М.ФРАДКОВ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7 ноября 2005 г. N 655</w:t>
      </w:r>
    </w:p>
    <w:p>
      <w:pPr>
        <w:pStyle w:val="0"/>
        <w:ind w:firstLine="540"/>
        <w:jc w:val="both"/>
      </w:pPr>
      <w:r>
        <w:rPr>
          <w:sz w:val="24"/>
        </w:rPr>
      </w:r>
    </w:p>
    <w:bookmarkStart w:id="55" w:name="P55"/>
    <w:bookmarkEnd w:id="55"/>
    <w:p>
      <w:pPr>
        <w:pStyle w:val="2"/>
        <w:jc w:val="center"/>
      </w:pPr>
      <w:r>
        <w:rPr>
          <w:sz w:val="24"/>
        </w:rPr>
        <w:t xml:space="preserve">ПРАВИЛА</w:t>
      </w:r>
    </w:p>
    <w:p>
      <w:pPr>
        <w:pStyle w:val="2"/>
        <w:jc w:val="center"/>
      </w:pPr>
      <w:r>
        <w:rPr>
          <w:sz w:val="24"/>
        </w:rPr>
        <w:t xml:space="preserve">ВЕДЕНИЯ ИМЕННЫХ НАКОПИТЕЛЬНЫХ СЧЕТОВ</w:t>
      </w:r>
    </w:p>
    <w:p>
      <w:pPr>
        <w:pStyle w:val="2"/>
        <w:jc w:val="center"/>
      </w:pPr>
      <w:r>
        <w:rPr>
          <w:sz w:val="24"/>
        </w:rPr>
        <w:t xml:space="preserve">УЧАСТНИКОВ НАКОПИТЕЛЬНО-ИПОТЕЧНОЙ СИСТЕМЫ</w:t>
      </w:r>
    </w:p>
    <w:p>
      <w:pPr>
        <w:pStyle w:val="2"/>
        <w:jc w:val="center"/>
      </w:pPr>
      <w:r>
        <w:rPr>
          <w:sz w:val="24"/>
        </w:rPr>
        <w:t xml:space="preserve">ЖИЛИЩНОГО ОБЕСПЕЧЕНИЯ ВОЕННОСЛУЖАЩИХ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31.01.2009 </w:t>
            </w:r>
            <w:hyperlink w:history="0" r:id="rId33"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color w:val="392c69"/>
              </w:rPr>
              <w:t xml:space="preserve">,</w:t>
            </w:r>
          </w:p>
          <w:p>
            <w:pPr>
              <w:pStyle w:val="0"/>
              <w:jc w:val="center"/>
            </w:pPr>
            <w:r>
              <w:rPr>
                <w:sz w:val="24"/>
                <w:color w:val="392c69"/>
              </w:rPr>
              <w:t xml:space="preserve">от 12.11.2016 </w:t>
            </w:r>
            <w:hyperlink w:history="0" r:id="rId34"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color w:val="392c69"/>
              </w:rPr>
              <w:t xml:space="preserve">, от 29.12.2016 </w:t>
            </w:r>
            <w:hyperlink w:history="0" r:id="rId35"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 от 08.09.2017 </w:t>
            </w:r>
            <w:hyperlink w:history="0" r:id="rId36"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color w:val="392c69"/>
              </w:rPr>
              <w:t xml:space="preserve">,</w:t>
            </w:r>
          </w:p>
          <w:p>
            <w:pPr>
              <w:pStyle w:val="0"/>
              <w:jc w:val="center"/>
            </w:pPr>
            <w:r>
              <w:rPr>
                <w:sz w:val="24"/>
                <w:color w:val="392c69"/>
              </w:rPr>
              <w:t xml:space="preserve">от 27.05.2020 </w:t>
            </w:r>
            <w:hyperlink w:history="0" r:id="rId37"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color w:val="392c69"/>
              </w:rPr>
              <w:t xml:space="preserve">, от 01.11.2022 </w:t>
            </w:r>
            <w:hyperlink w:history="0" r:id="rId3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color w:val="392c69"/>
              </w:rPr>
              <w:t xml:space="preserve">, от 17.05.2023 </w:t>
            </w:r>
            <w:hyperlink w:history="0" r:id="rId3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color w:val="392c69"/>
              </w:rPr>
              <w:t xml:space="preserve">,</w:t>
            </w:r>
          </w:p>
          <w:p>
            <w:pPr>
              <w:pStyle w:val="0"/>
              <w:jc w:val="center"/>
            </w:pPr>
            <w:r>
              <w:rPr>
                <w:sz w:val="24"/>
                <w:color w:val="392c69"/>
              </w:rPr>
              <w:t xml:space="preserve">от 01.07.2025 </w:t>
            </w:r>
            <w:hyperlink w:history="0" r:id="rId40"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Настоящие Правила, разработанные в соответствии с Федеральным </w:t>
      </w:r>
      <w:hyperlink w:history="0" r:id="rId4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 накопительно-ипотечной системе жилищного обеспечения военнослужащих" (далее - Федеральный закон), определяют порядок организации работы уполномоченного федерального </w:t>
      </w:r>
      <w:hyperlink w:history="0" r:id="rId42" w:tooltip="Указ Президента РФ от 20.04.2005 N 449 &quot;Вопросы накопительно-ипотечной системы жилищного обеспечения военнослужащих&quot; {КонсультантПлюс}">
        <w:r>
          <w:rPr>
            <w:sz w:val="24"/>
            <w:color w:val="0000ff"/>
          </w:rPr>
          <w:t xml:space="preserve">органа</w:t>
        </w:r>
      </w:hyperlink>
      <w:r>
        <w:rPr>
          <w:sz w:val="24"/>
        </w:rPr>
        <w:t xml:space="preserve"> исполнительной власти, обеспечивающего функционирование накопительно-ипотечной системы жилищного обеспечения военнослужащих (далее - уполномоченный федеральный орган), по открытию, ведению и закрытию именных накопительных счетов участников накопительно-ипотечной системы жилищного обеспечения военнослужащих (далее - участники накопительно-ипотечной системы).</w:t>
      </w:r>
    </w:p>
    <w:p>
      <w:pPr>
        <w:pStyle w:val="0"/>
        <w:jc w:val="both"/>
      </w:pPr>
      <w:r>
        <w:rPr>
          <w:sz w:val="24"/>
        </w:rPr>
        <w:t xml:space="preserve">(в ред. </w:t>
      </w:r>
      <w:hyperlink w:history="0" r:id="rId43"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rPr>
        <w:t xml:space="preserve"> Правительства РФ от 31.01.2009 N 78)</w:t>
      </w:r>
    </w:p>
    <w:p>
      <w:pPr>
        <w:pStyle w:val="0"/>
        <w:spacing w:before="240" w:line-rule="auto"/>
        <w:ind w:firstLine="540"/>
        <w:jc w:val="both"/>
      </w:pPr>
      <w:r>
        <w:rPr>
          <w:sz w:val="24"/>
        </w:rPr>
        <w:t xml:space="preserve">В настоящих Правилах используются понятия, определенные Федеральным </w:t>
      </w:r>
      <w:hyperlink w:history="0" r:id="rId4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w:t>
      </w:r>
    </w:p>
    <w:p>
      <w:pPr>
        <w:pStyle w:val="0"/>
        <w:jc w:val="both"/>
      </w:pPr>
      <w:r>
        <w:rPr>
          <w:sz w:val="24"/>
        </w:rPr>
        <w:t xml:space="preserve">(абзац введен </w:t>
      </w:r>
      <w:hyperlink w:history="0" r:id="rId45"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spacing w:before="240" w:line-rule="auto"/>
        <w:ind w:firstLine="540"/>
        <w:jc w:val="both"/>
      </w:pPr>
      <w:r>
        <w:rPr>
          <w:sz w:val="24"/>
        </w:rPr>
        <w:t xml:space="preserve">2. Уполномоченный федеральный орган в отношении каждого участника накопительно-ипотечной системы открывает именной накопительный счет.</w:t>
      </w:r>
    </w:p>
    <w:p>
      <w:pPr>
        <w:pStyle w:val="0"/>
        <w:spacing w:before="240" w:line-rule="auto"/>
        <w:ind w:firstLine="540"/>
        <w:jc w:val="both"/>
      </w:pPr>
      <w:r>
        <w:rPr>
          <w:sz w:val="24"/>
        </w:rPr>
        <w:t xml:space="preserve">Именные накопительные счета участников накопительно-ипотечной системы (далее - именные накопительные счета) ведутся на бумажных и (или) электронных носителях информации. </w:t>
      </w:r>
      <w:hyperlink w:history="0" r:id="rId46" w:tooltip="Приказ Министра обороны РФ от 17.12.2013 N 865 (ред. от 17.10.2024) &quot;Об утверждении Порядка учета сведений участников накопительно-ипотечной системы жилищного обеспечения военнослужащих, которые ведутся на бумажных и (или) электронных носителях информации, Порядка регистрации именных накопительных счетов участников накопительно-ипотечной системы жилищного обеспечения военнослужащих&quot; (Зарегистрировано в Минюсте России 03.03.2014 N 31484) {КонсультантПлюс}">
        <w:r>
          <w:rPr>
            <w:sz w:val="24"/>
            <w:color w:val="0000ff"/>
          </w:rPr>
          <w:t xml:space="preserve">Порядок</w:t>
        </w:r>
      </w:hyperlink>
      <w:r>
        <w:rPr>
          <w:sz w:val="24"/>
        </w:rPr>
        <w:t xml:space="preserve"> учета сведений определяется уполномоченным федеральным органом.</w:t>
      </w:r>
    </w:p>
    <w:p>
      <w:pPr>
        <w:pStyle w:val="0"/>
        <w:jc w:val="both"/>
      </w:pPr>
      <w:r>
        <w:rPr>
          <w:sz w:val="24"/>
        </w:rPr>
        <w:t xml:space="preserve">(в ред. </w:t>
      </w:r>
      <w:hyperlink w:history="0" r:id="rId47"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rPr>
        <w:t xml:space="preserve"> Правительства РФ от 31.01.2009 N 78)</w:t>
      </w:r>
    </w:p>
    <w:p>
      <w:pPr>
        <w:pStyle w:val="0"/>
        <w:spacing w:before="240" w:line-rule="auto"/>
        <w:ind w:firstLine="540"/>
        <w:jc w:val="both"/>
      </w:pPr>
      <w:r>
        <w:rPr>
          <w:sz w:val="24"/>
        </w:rPr>
        <w:t xml:space="preserve">3. Именные накопительные счета регистрируются уполномоченным федеральным органом в книге регистрации именных накопительных счетов в </w:t>
      </w:r>
      <w:hyperlink w:history="0" r:id="rId48" w:tooltip="Приказ Министра обороны РФ от 17.12.2013 N 865 (ред. от 17.10.2024) &quot;Об утверждении Порядка учета сведений участников накопительно-ипотечной системы жилищного обеспечения военнослужащих, которые ведутся на бумажных и (или) электронных носителях информации, Порядка регистрации именных накопительных счетов участников накопительно-ипотечной системы жилищного обеспечения военнослужащих&quot; (Зарегистрировано в Минюсте России 03.03.2014 N 31484) {КонсультантПлюс}">
        <w:r>
          <w:rPr>
            <w:sz w:val="24"/>
            <w:color w:val="0000ff"/>
          </w:rPr>
          <w:t xml:space="preserve">порядке</w:t>
        </w:r>
      </w:hyperlink>
      <w:r>
        <w:rPr>
          <w:sz w:val="24"/>
        </w:rPr>
        <w:t xml:space="preserve">, устанавливаемом этим органом.</w:t>
      </w:r>
    </w:p>
    <w:p>
      <w:pPr>
        <w:pStyle w:val="0"/>
        <w:spacing w:before="240" w:line-rule="auto"/>
        <w:ind w:firstLine="540"/>
        <w:jc w:val="both"/>
      </w:pPr>
      <w:r>
        <w:rPr>
          <w:sz w:val="24"/>
        </w:rPr>
        <w:t xml:space="preserve">В указанную книгу заносятся номер именного накопительного счета, даты открытия и закрытия именного накопительного счета, регистрационный номер участника накопительно-ипотечной системы, изменения, внесенные в эти реквизиты именного накопительного счета, и дата их внесения.</w:t>
      </w:r>
    </w:p>
    <w:p>
      <w:pPr>
        <w:pStyle w:val="0"/>
        <w:spacing w:before="240" w:line-rule="auto"/>
        <w:ind w:firstLine="540"/>
        <w:jc w:val="both"/>
      </w:pPr>
      <w:r>
        <w:rPr>
          <w:sz w:val="24"/>
        </w:rPr>
        <w:t xml:space="preserve">4. Именной накопительный счет ведется уполномоченным федеральным органом и является формой аналитического учета, включающей в себя совокупность сведений об учтенных накопительных взносах, о доходе от инвестирования средств, переданных в доверительное управление, о дополнительной выплате, об иных не запрещенных законодательством Российской Федерации поступлениях, об операциях по использованию накоплений для жилищного обеспечения, о задолженности участника накопительно-ипотечной системы жилищного обеспечения военнослужащих перед уполномоченным федеральным органом, а также сведения об участнике.</w:t>
      </w:r>
    </w:p>
    <w:p>
      <w:pPr>
        <w:pStyle w:val="0"/>
        <w:jc w:val="both"/>
      </w:pPr>
      <w:r>
        <w:rPr>
          <w:sz w:val="24"/>
        </w:rPr>
        <w:t xml:space="preserve">(в ред. Постановлений Правительства РФ от 12.11.2016 </w:t>
      </w:r>
      <w:hyperlink w:history="0" r:id="rId49"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rPr>
        <w:t xml:space="preserve">, от 17.05.2023 </w:t>
      </w:r>
      <w:hyperlink w:history="0" r:id="rId50"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5. Именной накопительный счет включает в себя:</w:t>
      </w:r>
    </w:p>
    <w:p>
      <w:pPr>
        <w:pStyle w:val="0"/>
        <w:spacing w:before="240" w:line-rule="auto"/>
        <w:ind w:firstLine="540"/>
        <w:jc w:val="both"/>
      </w:pPr>
      <w:r>
        <w:rPr>
          <w:sz w:val="24"/>
        </w:rPr>
        <w:t xml:space="preserve">а) сведения об участнике накопительно-ипотечной системы (дата рождения, номер именного накопительного счета, регистрационный номер, присвоенный участнику при включении его в реестр участников накопительно-ипотечной системы, дата включения его в указанный реестр, дата возникновения оснований для включения его в этот реестр, реквизиты документа, подтверждающего возникновение оснований для открытия именного накопительного счета, реквизиты документов, послуживших основанием для внесения изменений в указанные реквизиты именного накопительного счета, и сведения о внесенных изменениях);</w:t>
      </w:r>
    </w:p>
    <w:p>
      <w:pPr>
        <w:pStyle w:val="0"/>
        <w:spacing w:before="240" w:line-rule="auto"/>
        <w:ind w:firstLine="540"/>
        <w:jc w:val="both"/>
      </w:pPr>
      <w:r>
        <w:rPr>
          <w:sz w:val="24"/>
        </w:rPr>
        <w:t xml:space="preserve">б) сведения о накопительных взносах, формируемых за счет средств федерального бюджета нарастающим итогом, и реквизиты документов, на основании которых учтены эти взносы;</w:t>
      </w:r>
    </w:p>
    <w:p>
      <w:pPr>
        <w:pStyle w:val="0"/>
        <w:spacing w:before="240" w:line-rule="auto"/>
        <w:ind w:firstLine="540"/>
        <w:jc w:val="both"/>
      </w:pPr>
      <w:r>
        <w:rPr>
          <w:sz w:val="24"/>
        </w:rPr>
        <w:t xml:space="preserve">в) сведения об иных поступлениях и доходах от инвестирования (размер иных не запрещенных законодательством Российской Федерации поступлений, размер доходов от инвестирования накоплений для жилищного обеспечения и реквизиты документов об учете этих средств);</w:t>
      </w:r>
    </w:p>
    <w:p>
      <w:pPr>
        <w:pStyle w:val="0"/>
        <w:spacing w:before="240" w:line-rule="auto"/>
        <w:ind w:firstLine="540"/>
        <w:jc w:val="both"/>
      </w:pPr>
      <w:r>
        <w:rPr>
          <w:sz w:val="24"/>
        </w:rPr>
        <w:t xml:space="preserve">г) сведения об использовании средств для жилищного обеспечения (реквизиты каждого документа об использовании накоплений для жилищного обеспечения и остаток накоплений для жилищного обеспечения на соответствующую дату);</w:t>
      </w:r>
    </w:p>
    <w:p>
      <w:pPr>
        <w:pStyle w:val="0"/>
        <w:spacing w:before="240" w:line-rule="auto"/>
        <w:ind w:firstLine="540"/>
        <w:jc w:val="both"/>
      </w:pPr>
      <w:r>
        <w:rPr>
          <w:sz w:val="24"/>
        </w:rPr>
        <w:t xml:space="preserve">д) сведения о документах, послуживших основанием для использования накоплений для жилищного обеспечения. Указанные сведения вносятся при условии использования участником накопительно-ипотечной системы накоплений для жилищного обеспечения. Учет использованных накоплений для жилищного обеспечения осуществляется в соответствии с </w:t>
      </w:r>
      <w:hyperlink w:history="0" w:anchor="P232" w:tooltip="ПРАВИЛА">
        <w:r>
          <w:rPr>
            <w:sz w:val="24"/>
            <w:color w:val="0000ff"/>
          </w:rPr>
          <w:t xml:space="preserve">порядком</w:t>
        </w:r>
      </w:hyperlink>
      <w:r>
        <w:rPr>
          <w:sz w:val="24"/>
        </w:rPr>
        <w:t xml:space="preserve"> и условиями использования накоплений для жилищного обеспечения военнослужащих;</w:t>
      </w:r>
    </w:p>
    <w:p>
      <w:pPr>
        <w:pStyle w:val="0"/>
        <w:spacing w:before="240" w:line-rule="auto"/>
        <w:ind w:firstLine="540"/>
        <w:jc w:val="both"/>
      </w:pPr>
      <w:r>
        <w:rPr>
          <w:sz w:val="24"/>
        </w:rPr>
        <w:t xml:space="preserve">е) сведения о закрытии именного накопительного счета (дата исключения военнослужащего из реестра участников накопительно-ипотечной системы, дата возникновения оснований для исключения его из указанного реестра, реквизиты документов, подтверждающих возникновение основания для закрытия счета, размер средств, подлежащих возврату в федеральный бюджет или (и) использованных участником накопительно-ипотечной системы, дата закрытия счета);</w:t>
      </w:r>
    </w:p>
    <w:p>
      <w:pPr>
        <w:pStyle w:val="0"/>
        <w:spacing w:before="240" w:line-rule="auto"/>
        <w:ind w:firstLine="540"/>
        <w:jc w:val="both"/>
      </w:pPr>
      <w:r>
        <w:rPr>
          <w:sz w:val="24"/>
        </w:rPr>
        <w:t xml:space="preserve">ж) исключен. - </w:t>
      </w:r>
      <w:hyperlink w:history="0" r:id="rId51"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Постановление</w:t>
        </w:r>
      </w:hyperlink>
      <w:r>
        <w:rPr>
          <w:sz w:val="24"/>
        </w:rPr>
        <w:t xml:space="preserve"> Правительства РФ от 31.01.2009 N 78;</w:t>
      </w:r>
    </w:p>
    <w:p>
      <w:pPr>
        <w:pStyle w:val="0"/>
        <w:spacing w:before="240" w:line-rule="auto"/>
        <w:ind w:firstLine="540"/>
        <w:jc w:val="both"/>
      </w:pPr>
      <w:r>
        <w:rPr>
          <w:sz w:val="24"/>
        </w:rPr>
        <w:t xml:space="preserve">з) размер ежемесячных накопительных взносов, рассчитанный исходя из размера годового накопительного взноса на одного участника, устанавливаемого ежегодно федеральным </w:t>
      </w:r>
      <w:hyperlink w:history="0" r:id="rId52" w:tooltip="Справочная информация: &quot;Перечень законов о федеральном бюджете и бюджетах государственных внебюджетных фондов&quot; (Материал подготовлен специалистами КонсультантПлюс) {КонсультантПлюс}">
        <w:r>
          <w:rPr>
            <w:sz w:val="24"/>
            <w:color w:val="0000ff"/>
          </w:rPr>
          <w:t xml:space="preserve">законом</w:t>
        </w:r>
      </w:hyperlink>
      <w:r>
        <w:rPr>
          <w:sz w:val="24"/>
        </w:rPr>
        <w:t xml:space="preserve"> о федеральном бюджете;</w:t>
      </w:r>
    </w:p>
    <w:p>
      <w:pPr>
        <w:pStyle w:val="0"/>
        <w:spacing w:before="240" w:line-rule="auto"/>
        <w:ind w:firstLine="540"/>
        <w:jc w:val="both"/>
      </w:pPr>
      <w:r>
        <w:rPr>
          <w:sz w:val="24"/>
        </w:rPr>
        <w:t xml:space="preserve">и) сведения о дополнительной выплате и единовременном начислении для досрочного погашения ипотечного кредита (займа), формируемых за счет средств федерального бюджета;</w:t>
      </w:r>
    </w:p>
    <w:p>
      <w:pPr>
        <w:pStyle w:val="0"/>
        <w:jc w:val="both"/>
      </w:pPr>
      <w:r>
        <w:rPr>
          <w:sz w:val="24"/>
        </w:rPr>
        <w:t xml:space="preserve">(пп. "и" введен </w:t>
      </w:r>
      <w:hyperlink w:history="0" r:id="rId53"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spacing w:before="240" w:line-rule="auto"/>
        <w:ind w:firstLine="540"/>
        <w:jc w:val="both"/>
      </w:pPr>
      <w:r>
        <w:rPr>
          <w:sz w:val="24"/>
        </w:rPr>
        <w:t xml:space="preserve">к) сведения о накопительных взносах, указанных в </w:t>
      </w:r>
      <w:hyperlink w:history="0" r:id="rId5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частях 7.2</w:t>
        </w:r>
      </w:hyperlink>
      <w:r>
        <w:rPr>
          <w:sz w:val="24"/>
        </w:rPr>
        <w:t xml:space="preserve"> и </w:t>
      </w:r>
      <w:hyperlink w:history="0" r:id="rId5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7.3 статьи 5</w:t>
        </w:r>
      </w:hyperlink>
      <w:r>
        <w:rPr>
          <w:sz w:val="24"/>
        </w:rPr>
        <w:t xml:space="preserve"> Федерального закона.</w:t>
      </w:r>
    </w:p>
    <w:p>
      <w:pPr>
        <w:pStyle w:val="0"/>
        <w:jc w:val="both"/>
      </w:pPr>
      <w:r>
        <w:rPr>
          <w:sz w:val="24"/>
        </w:rPr>
        <w:t xml:space="preserve">(пп. "к" введен </w:t>
      </w:r>
      <w:hyperlink w:history="0" r:id="rId56"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01.07.2025 N 995)</w:t>
      </w:r>
    </w:p>
    <w:p>
      <w:pPr>
        <w:pStyle w:val="0"/>
        <w:spacing w:before="240" w:line-rule="auto"/>
        <w:ind w:firstLine="540"/>
        <w:jc w:val="both"/>
      </w:pPr>
      <w:r>
        <w:rPr>
          <w:sz w:val="24"/>
        </w:rPr>
        <w:t xml:space="preserve">6. Основанием для открытия именного накопительного счета является включение военнослужащего в реестр участников накопительно-ипотечной системы Министерством обороны Российской Федерации или соответствующим федеральным органом исполнительной власти (федеральным государственным органом), в котором федеральным законом предусмотрена военная служба (далее - федеральный орган).</w:t>
      </w:r>
    </w:p>
    <w:p>
      <w:pPr>
        <w:pStyle w:val="0"/>
        <w:jc w:val="both"/>
      </w:pPr>
      <w:r>
        <w:rPr>
          <w:sz w:val="24"/>
        </w:rPr>
        <w:t xml:space="preserve">(в ред. </w:t>
      </w:r>
      <w:hyperlink w:history="0" r:id="rId57"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Документом, подтверждающим возникновение оснований для открытия именного накопительного счета, является уведомление соответствующего федерального органа о включении военнослужащего в реестр участников накопительно-ипотечной системы.</w:t>
      </w:r>
    </w:p>
    <w:p>
      <w:pPr>
        <w:pStyle w:val="0"/>
        <w:jc w:val="both"/>
      </w:pPr>
      <w:r>
        <w:rPr>
          <w:sz w:val="24"/>
        </w:rPr>
        <w:t xml:space="preserve">(в ред. </w:t>
      </w:r>
      <w:hyperlink w:history="0" r:id="rId58"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Именной накопительный счет открывается не позднее 10 рабочих дней с даты поступления указанного уведомления.</w:t>
      </w:r>
    </w:p>
    <w:p>
      <w:pPr>
        <w:pStyle w:val="0"/>
        <w:spacing w:before="240" w:line-rule="auto"/>
        <w:ind w:firstLine="540"/>
        <w:jc w:val="both"/>
      </w:pPr>
      <w:r>
        <w:rPr>
          <w:sz w:val="24"/>
        </w:rPr>
        <w:t xml:space="preserve">Учет накопительных взносов на именном накопительном счете начинается с 1-го числа месяца, следующего за месяцем открытия этого счета, и прекращается с даты закрытия счета.</w:t>
      </w:r>
    </w:p>
    <w:p>
      <w:pPr>
        <w:pStyle w:val="0"/>
        <w:spacing w:before="240" w:line-rule="auto"/>
        <w:ind w:firstLine="540"/>
        <w:jc w:val="both"/>
      </w:pPr>
      <w:r>
        <w:rPr>
          <w:sz w:val="24"/>
        </w:rPr>
        <w:t xml:space="preserve">7. Внесение изменений в именной накопительный счет осуществляется на основании представляемых соответствующим федеральным органом сведений о внесении изменений в реестр участников накопительно-ипотечной системы.</w:t>
      </w:r>
    </w:p>
    <w:p>
      <w:pPr>
        <w:pStyle w:val="0"/>
        <w:jc w:val="both"/>
      </w:pPr>
      <w:r>
        <w:rPr>
          <w:sz w:val="24"/>
        </w:rPr>
        <w:t xml:space="preserve">(в ред. </w:t>
      </w:r>
      <w:hyperlink w:history="0" r:id="rId59"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Изменения в именной накопительный счет вносятся не позднее 10 рабочих дней с даты поступления соответствующих сведений.</w:t>
      </w:r>
    </w:p>
    <w:p>
      <w:pPr>
        <w:pStyle w:val="0"/>
        <w:spacing w:before="240" w:line-rule="auto"/>
        <w:ind w:firstLine="540"/>
        <w:jc w:val="both"/>
      </w:pPr>
      <w:r>
        <w:rPr>
          <w:sz w:val="24"/>
        </w:rPr>
        <w:t xml:space="preserve">При внесении изменений в именной накопительный счет производится перерасчет размера накоплений для жилищного обеспечения, учтенных на этом счете.</w:t>
      </w:r>
    </w:p>
    <w:p>
      <w:pPr>
        <w:pStyle w:val="0"/>
        <w:spacing w:before="240" w:line-rule="auto"/>
        <w:ind w:firstLine="540"/>
        <w:jc w:val="both"/>
      </w:pPr>
      <w:r>
        <w:rPr>
          <w:sz w:val="24"/>
        </w:rPr>
        <w:t xml:space="preserve">В случае выявления факта включения в реестр участников накопительно-ипотечной системы военнослужащего, у которого отсутствуют основания, предусмотренные </w:t>
      </w:r>
      <w:hyperlink w:history="0" r:id="rId6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9</w:t>
        </w:r>
      </w:hyperlink>
      <w:r>
        <w:rPr>
          <w:sz w:val="24"/>
        </w:rPr>
        <w:t xml:space="preserve"> Федерального закона, соответствующий федеральный орган не позднее 10-го рабочего дня со дня выявления указанного факта направляет уполномоченному федеральному органу сведения о выявлении такого факта. Уполномоченный федеральный орган в течение 10 рабочих дней со дня поступления указанных сведений направляет федеральному органу сведения о реализации участником накопительно-ипотечной системы прав, предусмотренных </w:t>
      </w:r>
      <w:hyperlink w:history="0" r:id="rId6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пунктами 1</w:t>
        </w:r>
      </w:hyperlink>
      <w:r>
        <w:rPr>
          <w:sz w:val="24"/>
        </w:rPr>
        <w:t xml:space="preserve"> и </w:t>
      </w:r>
      <w:hyperlink w:history="0" r:id="rId62"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2 части 1 статьи 11</w:t>
        </w:r>
      </w:hyperlink>
      <w:r>
        <w:rPr>
          <w:sz w:val="24"/>
        </w:rPr>
        <w:t xml:space="preserve"> Федерального закона. В случае если участник не реализовал права, предусмотренные </w:t>
      </w:r>
      <w:hyperlink w:history="0" r:id="rId6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пунктами 1</w:t>
        </w:r>
      </w:hyperlink>
      <w:r>
        <w:rPr>
          <w:sz w:val="24"/>
        </w:rPr>
        <w:t xml:space="preserve"> и </w:t>
      </w:r>
      <w:hyperlink w:history="0" r:id="rId6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2 части 1 статьи 11</w:t>
        </w:r>
      </w:hyperlink>
      <w:r>
        <w:rPr>
          <w:sz w:val="24"/>
        </w:rPr>
        <w:t xml:space="preserve"> Федерального закона, федеральный орган направляет уполномоченному федеральному органу сведения об исключении военнослужащего из реестра участников накопительно-ипотечной системы. Уполномоченный федеральный орган не позднее 15-го числа месяца, следующего за месяцем, в котором от соответствующего федерального органа поступили указанные сведения, закрывает именной накопительный счет участника. При этом средства накоплений для жилищного обеспечения, учтенные на указанном счете, возвращаются в федеральный бюджет.</w:t>
      </w:r>
    </w:p>
    <w:p>
      <w:pPr>
        <w:pStyle w:val="0"/>
        <w:jc w:val="both"/>
      </w:pPr>
      <w:r>
        <w:rPr>
          <w:sz w:val="24"/>
        </w:rPr>
        <w:t xml:space="preserve">(в ред. </w:t>
      </w:r>
      <w:hyperlink w:history="0" r:id="rId65"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8. Основанием для закрытия уполномоченным федеральным органом именного накопительного счета является исключение военнослужащего из реестра участников накопительно-ипотечной системы.</w:t>
      </w:r>
    </w:p>
    <w:p>
      <w:pPr>
        <w:pStyle w:val="0"/>
        <w:jc w:val="both"/>
      </w:pPr>
      <w:r>
        <w:rPr>
          <w:sz w:val="24"/>
        </w:rPr>
        <w:t xml:space="preserve">(в ред. Постановлений Правительства РФ от 31.01.2009 </w:t>
      </w:r>
      <w:hyperlink w:history="0" r:id="rId66"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rPr>
        <w:t xml:space="preserve">, от 27.05.2020 </w:t>
      </w:r>
      <w:hyperlink w:history="0" r:id="rId67"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rPr>
        <w:t xml:space="preserve">)</w:t>
      </w:r>
    </w:p>
    <w:p>
      <w:pPr>
        <w:pStyle w:val="0"/>
        <w:spacing w:before="240" w:line-rule="auto"/>
        <w:ind w:firstLine="540"/>
        <w:jc w:val="both"/>
      </w:pPr>
      <w:r>
        <w:rPr>
          <w:sz w:val="24"/>
        </w:rPr>
        <w:t xml:space="preserve">Документом, подтверждающим возникновение основания для закрытия именного накопительного счета, является уведомление соответствующего федерального органа об исключении военнослужащего из реестра участников накопительно-ипотечной системы.</w:t>
      </w:r>
    </w:p>
    <w:p>
      <w:pPr>
        <w:pStyle w:val="0"/>
        <w:jc w:val="both"/>
      </w:pPr>
      <w:r>
        <w:rPr>
          <w:sz w:val="24"/>
        </w:rPr>
        <w:t xml:space="preserve">(в ред. </w:t>
      </w:r>
      <w:hyperlink w:history="0" r:id="rId68"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Именной накопительный счет закрывается не позднее 15-го числа месяца, следующего за месяцем, в котором от соответствующего федерального органа поступило указанное уведомление.</w:t>
      </w:r>
    </w:p>
    <w:p>
      <w:pPr>
        <w:pStyle w:val="0"/>
        <w:jc w:val="both"/>
      </w:pPr>
      <w:r>
        <w:rPr>
          <w:sz w:val="24"/>
        </w:rPr>
        <w:t xml:space="preserve">(в ред. Постановлений Правительства РФ от 31.01.2009 </w:t>
      </w:r>
      <w:hyperlink w:history="0" r:id="rId69"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rPr>
        <w:t xml:space="preserve">, от 08.09.2017 </w:t>
      </w:r>
      <w:hyperlink w:history="0" r:id="rId70"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rPr>
        <w:t xml:space="preserve">, от 27.05.2020 </w:t>
      </w:r>
      <w:hyperlink w:history="0" r:id="rId71"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rPr>
        <w:t xml:space="preserve">, от 01.11.2022 </w:t>
      </w:r>
      <w:hyperlink w:history="0" r:id="rId7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9. Договоры, первичная учетная и иная документация, содержащая сведения о включении (исключении) военнослужащих в реестр (из реестра) участников накопительно-ипотечной системы и сведения об именных накопительных счетах участников и о движении средств на них, поручения и заявления участников накопительно-ипотечной системы, а также иные документы подлежат хранению в соответствии с </w:t>
      </w:r>
      <w:hyperlink w:history="0" r:id="rId73" w:tooltip="Федеральный закон от 22.10.2004 N 125-ФЗ (ред. от 13.12.2024) &quot;Об архивном деле в Российской Федерации&quot; {КонсультантПлюс}">
        <w:r>
          <w:rPr>
            <w:sz w:val="24"/>
            <w:color w:val="0000ff"/>
          </w:rPr>
          <w:t xml:space="preserve">правилами</w:t>
        </w:r>
      </w:hyperlink>
      <w:r>
        <w:rPr>
          <w:sz w:val="24"/>
        </w:rPr>
        <w:t xml:space="preserve"> государственного архивного дела.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7 ноября 2005 г. N 655</w:t>
      </w:r>
    </w:p>
    <w:p>
      <w:pPr>
        <w:pStyle w:val="0"/>
        <w:ind w:firstLine="540"/>
        <w:jc w:val="both"/>
      </w:pPr>
      <w:r>
        <w:rPr>
          <w:sz w:val="24"/>
        </w:rPr>
      </w:r>
    </w:p>
    <w:bookmarkStart w:id="118" w:name="P118"/>
    <w:bookmarkEnd w:id="118"/>
    <w:p>
      <w:pPr>
        <w:pStyle w:val="2"/>
        <w:jc w:val="center"/>
      </w:pPr>
      <w:r>
        <w:rPr>
          <w:sz w:val="24"/>
        </w:rPr>
        <w:t xml:space="preserve">ПРАВИЛА</w:t>
      </w:r>
    </w:p>
    <w:p>
      <w:pPr>
        <w:pStyle w:val="2"/>
        <w:jc w:val="center"/>
      </w:pPr>
      <w:r>
        <w:rPr>
          <w:sz w:val="24"/>
        </w:rPr>
        <w:t xml:space="preserve">ПРЕДОСТАВЛЕНИЯ УПОЛНОМОЧЕННЫМ ФЕДЕРАЛЬНЫМ ОРГАНОМ</w:t>
      </w:r>
    </w:p>
    <w:p>
      <w:pPr>
        <w:pStyle w:val="2"/>
        <w:jc w:val="center"/>
      </w:pPr>
      <w:r>
        <w:rPr>
          <w:sz w:val="24"/>
        </w:rPr>
        <w:t xml:space="preserve">ИСПОЛНИТЕЛЬНОЙ ВЛАСТИ, ОБЕСПЕЧИВАЮЩИМ ФУНКЦИОНИРОВАНИЕ</w:t>
      </w:r>
    </w:p>
    <w:p>
      <w:pPr>
        <w:pStyle w:val="2"/>
        <w:jc w:val="center"/>
      </w:pPr>
      <w:r>
        <w:rPr>
          <w:sz w:val="24"/>
        </w:rPr>
        <w:t xml:space="preserve">НАКОПИТЕЛЬНО-ИПОТЕЧНОЙ СИСТЕМЫ, ИНФОРМАЦИИ ОБ УПРАВЛЯЮЩИХ</w:t>
      </w:r>
    </w:p>
    <w:p>
      <w:pPr>
        <w:pStyle w:val="2"/>
        <w:jc w:val="center"/>
      </w:pPr>
      <w:r>
        <w:rPr>
          <w:sz w:val="24"/>
        </w:rPr>
        <w:t xml:space="preserve">КОМПАНИЯХ, О СПЕЦИАЛИЗИРОВАННОМ ДЕПОЗИТАРИИ, А ТАКЖЕ</w:t>
      </w:r>
    </w:p>
    <w:p>
      <w:pPr>
        <w:pStyle w:val="2"/>
        <w:jc w:val="center"/>
      </w:pPr>
      <w:r>
        <w:rPr>
          <w:sz w:val="24"/>
        </w:rPr>
        <w:t xml:space="preserve">О СОСТОЯНИИ ИМЕННЫХ НАКОПИТЕЛЬНЫХ СЧЕТОВ УЧАСТНИКОВ</w:t>
      </w:r>
    </w:p>
    <w:p>
      <w:pPr>
        <w:pStyle w:val="2"/>
        <w:jc w:val="center"/>
      </w:pPr>
      <w:r>
        <w:rPr>
          <w:sz w:val="24"/>
        </w:rPr>
        <w:t xml:space="preserve">НАКОПИТЕЛЬНО-ИПОТЕЧНОЙ СИСТЕМЫ ЖИЛИЩНОГО</w:t>
      </w:r>
    </w:p>
    <w:p>
      <w:pPr>
        <w:pStyle w:val="2"/>
        <w:jc w:val="center"/>
      </w:pPr>
      <w:r>
        <w:rPr>
          <w:sz w:val="24"/>
        </w:rPr>
        <w:t xml:space="preserve">ОБЕСПЕЧЕНИЯ ВОЕННОСЛУЖАЩИХ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29.12.2016 </w:t>
            </w:r>
            <w:hyperlink w:history="0" r:id="rId7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w:t>
            </w:r>
          </w:p>
          <w:p>
            <w:pPr>
              <w:pStyle w:val="0"/>
              <w:jc w:val="center"/>
            </w:pPr>
            <w:r>
              <w:rPr>
                <w:sz w:val="24"/>
                <w:color w:val="392c69"/>
              </w:rPr>
              <w:t xml:space="preserve">от 20.09.2023 </w:t>
            </w:r>
            <w:hyperlink w:history="0" r:id="rId75" w:tooltip="Постановление Правительства РФ от 20.09.2023 N 1530 &quot;О внесении изменений в постановление Правительства Российской Федерации от 7 ноября 2005 г. N 655&quot; {КонсультантПлюс}">
              <w:r>
                <w:rPr>
                  <w:sz w:val="24"/>
                  <w:color w:val="0000ff"/>
                </w:rPr>
                <w:t xml:space="preserve">N 1530</w:t>
              </w:r>
            </w:hyperlink>
            <w:r>
              <w:rPr>
                <w:sz w:val="24"/>
                <w:color w:val="392c69"/>
              </w:rPr>
              <w:t xml:space="preserve">, от 25.02.2025 </w:t>
            </w:r>
            <w:hyperlink w:history="0" r:id="rId76" w:tooltip="Постановление Правительства РФ от 25.02.2025 N 216 &quot;О внесении изменений в постановление Правительства Российской Федерации от 7 ноября 2005 г. N 655&quot; {КонсультантПлюс}">
              <w:r>
                <w:rPr>
                  <w:sz w:val="24"/>
                  <w:color w:val="0000ff"/>
                </w:rPr>
                <w:t xml:space="preserve">N 216</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Настоящие Правила, разработанные в соответствии с Федеральным </w:t>
      </w:r>
      <w:hyperlink w:history="0" r:id="rId7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 накопительно-ипотечной системе жилищного обеспечения военнослужащих", определяют порядок организации работы уполномоченного федерального </w:t>
      </w:r>
      <w:hyperlink w:history="0" r:id="rId78" w:tooltip="Указ Президента РФ от 20.04.2005 N 449 &quot;Вопросы накопительно-ипотечной системы жилищного обеспечения военнослужащих&quot; {КонсультантПлюс}">
        <w:r>
          <w:rPr>
            <w:sz w:val="24"/>
            <w:color w:val="0000ff"/>
          </w:rPr>
          <w:t xml:space="preserve">органа</w:t>
        </w:r>
      </w:hyperlink>
      <w:r>
        <w:rPr>
          <w:sz w:val="24"/>
        </w:rPr>
        <w:t xml:space="preserve"> исполнительной власти, обеспечивающего функционирование накопительно-ипотечной системы жилищного обеспечения военнослужащих (далее - уполномоченный федеральный орган), по предоставлению информации об управляющих компаниях, о специализированном депозитарии, а также о состоянии именных накопительных счетов участников накопительно-ипотечной системы жилищного обеспечения военнослужащих (далее - участники накопительно-ипотечной системы).</w:t>
      </w:r>
    </w:p>
    <w:p>
      <w:pPr>
        <w:pStyle w:val="0"/>
        <w:spacing w:before="240" w:line-rule="auto"/>
        <w:ind w:firstLine="540"/>
        <w:jc w:val="both"/>
      </w:pPr>
      <w:r>
        <w:rPr>
          <w:sz w:val="24"/>
        </w:rPr>
        <w:t xml:space="preserve">2. Уполномоченный федеральный орган ежегодно, не позднее 1 марта, направляет на бумажных и (или) электронных носителях:</w:t>
      </w:r>
    </w:p>
    <w:p>
      <w:pPr>
        <w:pStyle w:val="0"/>
        <w:jc w:val="both"/>
      </w:pPr>
      <w:r>
        <w:rPr>
          <w:sz w:val="24"/>
        </w:rPr>
        <w:t xml:space="preserve">(в ред. </w:t>
      </w:r>
      <w:hyperlink w:history="0" r:id="rId79" w:tooltip="Постановление Правительства РФ от 20.09.2023 N 1530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rPr>
        <w:t xml:space="preserve"> Правительства РФ от 20.09.2023 N 1530)</w:t>
      </w:r>
    </w:p>
    <w:p>
      <w:pPr>
        <w:pStyle w:val="0"/>
        <w:spacing w:before="240" w:line-rule="auto"/>
        <w:ind w:firstLine="540"/>
        <w:jc w:val="both"/>
      </w:pPr>
      <w:r>
        <w:rPr>
          <w:sz w:val="24"/>
        </w:rPr>
        <w:t xml:space="preserve">в Правительство Российской Федерации - доклад по итогам функционирования накопительно-ипотечной системы жилищного обеспечения военнослужащих, содержащий отчетность о средствах, учтенных на именных накопительных счетах участников накопительно-ипотечной системы, о результатах инвестирования накоплений для жилищного обеспечения, переданных в доверительное управление управляющим компаниям, и об использовании жилищных накоплений за год, а также информацию о специализированном депозитарии и об управляющих компаниях, с которыми уполномоченным федеральным органом заключены (прекращены) договоры;</w:t>
      </w:r>
    </w:p>
    <w:p>
      <w:pPr>
        <w:pStyle w:val="0"/>
        <w:spacing w:before="240" w:line-rule="auto"/>
        <w:ind w:firstLine="540"/>
        <w:jc w:val="both"/>
      </w:pPr>
      <w:r>
        <w:rPr>
          <w:sz w:val="24"/>
        </w:rPr>
        <w:t xml:space="preserve">абзац утратил силу. - </w:t>
      </w:r>
      <w:hyperlink w:history="0" r:id="rId80" w:tooltip="Постановление Правительства РФ от 25.02.2025 N 216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Постановление</w:t>
        </w:r>
      </w:hyperlink>
      <w:r>
        <w:rPr>
          <w:sz w:val="24"/>
        </w:rPr>
        <w:t xml:space="preserve"> Правительства РФ от 25.02.2025 N 216.</w:t>
      </w:r>
    </w:p>
    <w:p>
      <w:pPr>
        <w:pStyle w:val="0"/>
        <w:spacing w:before="240" w:line-rule="auto"/>
        <w:ind w:firstLine="540"/>
        <w:jc w:val="both"/>
      </w:pPr>
      <w:r>
        <w:rPr>
          <w:sz w:val="24"/>
        </w:rPr>
        <w:t xml:space="preserve">3. Информация о специализированном депозитарии и об управляющих компаниях направляется уполномоченным федеральным органом в течение 10 дней после заключения (прекращения) договоров.</w:t>
      </w:r>
    </w:p>
    <w:p>
      <w:pPr>
        <w:pStyle w:val="0"/>
        <w:spacing w:before="240" w:line-rule="auto"/>
        <w:ind w:firstLine="540"/>
        <w:jc w:val="both"/>
      </w:pPr>
      <w:r>
        <w:rPr>
          <w:sz w:val="24"/>
        </w:rPr>
        <w:t xml:space="preserve">Указанная информация может предоставляться иным федеральным органам исполнительной власти (федеральным государственным органам) по их письменному запросу.</w:t>
      </w:r>
    </w:p>
    <w:p>
      <w:pPr>
        <w:pStyle w:val="0"/>
        <w:jc w:val="both"/>
      </w:pPr>
      <w:r>
        <w:rPr>
          <w:sz w:val="24"/>
        </w:rPr>
        <w:t xml:space="preserve">(в ред. </w:t>
      </w:r>
      <w:hyperlink w:history="0" r:id="rId8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4. Уполномоченный федеральный орган ежегодно, до 31 марта, направляет в федеральные органы исполнительной власти (федеральные государственные органы), в которых </w:t>
      </w:r>
      <w:hyperlink w:history="0" r:id="rId82" w:tooltip="Федеральный закон от 28.03.1998 N 53-ФЗ (ред. от 29.09.2025) &quot;О воинской обязанности и военной службе&quot; {КонсультантПлюс}">
        <w:r>
          <w:rPr>
            <w:sz w:val="24"/>
            <w:color w:val="0000ff"/>
          </w:rPr>
          <w:t xml:space="preserve">законом</w:t>
        </w:r>
      </w:hyperlink>
      <w:r>
        <w:rPr>
          <w:sz w:val="24"/>
        </w:rPr>
        <w:t xml:space="preserve"> предусмотрена военная служба, информацию о состоянии именных накопительных счетов участников накопительно-ипотечной системы по форме, утверждаемой уполномоченным федеральным органом.</w:t>
      </w:r>
    </w:p>
    <w:p>
      <w:pPr>
        <w:pStyle w:val="0"/>
        <w:jc w:val="both"/>
      </w:pPr>
      <w:r>
        <w:rPr>
          <w:sz w:val="24"/>
        </w:rPr>
        <w:t xml:space="preserve">(в ред. </w:t>
      </w:r>
      <w:hyperlink w:history="0" r:id="rId8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5. </w:t>
      </w:r>
      <w:r>
        <w:rPr>
          <w:sz w:val="24"/>
        </w:rPr>
        <w:t xml:space="preserve">Порядок</w:t>
      </w:r>
      <w:r>
        <w:rPr>
          <w:sz w:val="24"/>
        </w:rPr>
        <w:t xml:space="preserve"> предоставления участникам накопительно-ипотечной системы информации о состоянии их именных накопительных счетов устанавливается соответствующими федеральными органами исполнительной власти (федеральными государственными органами), в которых законом предусмотрена военная служба.</w:t>
      </w:r>
    </w:p>
    <w:p>
      <w:pPr>
        <w:pStyle w:val="0"/>
        <w:jc w:val="both"/>
      </w:pPr>
      <w:r>
        <w:rPr>
          <w:sz w:val="24"/>
        </w:rPr>
        <w:t xml:space="preserve">(в ред. </w:t>
      </w:r>
      <w:hyperlink w:history="0" r:id="rId8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7 ноября 2005 г. N 655</w:t>
      </w:r>
    </w:p>
    <w:p>
      <w:pPr>
        <w:pStyle w:val="0"/>
        <w:ind w:firstLine="540"/>
        <w:jc w:val="both"/>
      </w:pPr>
      <w:r>
        <w:rPr>
          <w:sz w:val="24"/>
        </w:rPr>
      </w:r>
    </w:p>
    <w:bookmarkStart w:id="152" w:name="P152"/>
    <w:bookmarkEnd w:id="152"/>
    <w:p>
      <w:pPr>
        <w:pStyle w:val="2"/>
        <w:jc w:val="center"/>
      </w:pPr>
      <w:r>
        <w:rPr>
          <w:sz w:val="24"/>
        </w:rPr>
        <w:t xml:space="preserve">ПРАВИЛА</w:t>
      </w:r>
    </w:p>
    <w:p>
      <w:pPr>
        <w:pStyle w:val="2"/>
        <w:jc w:val="center"/>
      </w:pPr>
      <w:r>
        <w:rPr>
          <w:sz w:val="24"/>
        </w:rPr>
        <w:t xml:space="preserve">ФОРМИРОВАНИЯ НАКОПЛЕНИЙ ДЛЯ ЖИЛИЩНОГО ОБЕСПЕЧЕНИЯ</w:t>
      </w:r>
    </w:p>
    <w:p>
      <w:pPr>
        <w:pStyle w:val="2"/>
        <w:jc w:val="center"/>
      </w:pPr>
      <w:r>
        <w:rPr>
          <w:sz w:val="24"/>
        </w:rPr>
        <w:t xml:space="preserve">И УЧЕТА ИХ НА ИМЕННЫХ НАКОПИТЕЛЬНЫХ СЧЕТАХ УЧАСТНИКОВ</w:t>
      </w:r>
    </w:p>
    <w:p>
      <w:pPr>
        <w:pStyle w:val="2"/>
        <w:jc w:val="center"/>
      </w:pPr>
      <w:r>
        <w:rPr>
          <w:sz w:val="24"/>
        </w:rPr>
        <w:t xml:space="preserve">НАКОПИТЕЛЬНО-ИПОТЕЧНОЙ СИСТЕМЫ ЖИЛИЩНОГО</w:t>
      </w:r>
    </w:p>
    <w:p>
      <w:pPr>
        <w:pStyle w:val="2"/>
        <w:jc w:val="center"/>
      </w:pPr>
      <w:r>
        <w:rPr>
          <w:sz w:val="24"/>
        </w:rPr>
        <w:t xml:space="preserve">ОБЕСПЕЧЕНИЯ ВОЕННОСЛУЖАЩИХ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31.01.2009 </w:t>
            </w:r>
            <w:hyperlink w:history="0" r:id="rId85"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color w:val="392c69"/>
              </w:rPr>
              <w:t xml:space="preserve">,</w:t>
            </w:r>
          </w:p>
          <w:p>
            <w:pPr>
              <w:pStyle w:val="0"/>
              <w:jc w:val="center"/>
            </w:pPr>
            <w:r>
              <w:rPr>
                <w:sz w:val="24"/>
                <w:color w:val="392c69"/>
              </w:rPr>
              <w:t xml:space="preserve">от 26.01.2012 </w:t>
            </w:r>
            <w:hyperlink w:history="0" r:id="rId86"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23</w:t>
              </w:r>
            </w:hyperlink>
            <w:r>
              <w:rPr>
                <w:sz w:val="24"/>
                <w:color w:val="392c69"/>
              </w:rPr>
              <w:t xml:space="preserve">, от 17.09.2013 </w:t>
            </w:r>
            <w:hyperlink w:history="0" r:id="rId87"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color w:val="392c69"/>
              </w:rPr>
              <w:t xml:space="preserve">, от 18.02.2016 </w:t>
            </w:r>
            <w:hyperlink w:history="0" r:id="rId88" w:tooltip="Постановление Правительства РФ от 18.02.2016 N 115 &quot;О внесении изменений в Правила формирования накоплений для жилищного обеспечения и учета их на именных накопительных счетах участников накопительно-ипотечной системы жилищного обеспечения военнослужащих&quot; {КонсультантПлюс}">
              <w:r>
                <w:rPr>
                  <w:sz w:val="24"/>
                  <w:color w:val="0000ff"/>
                </w:rPr>
                <w:t xml:space="preserve">N 115</w:t>
              </w:r>
            </w:hyperlink>
            <w:r>
              <w:rPr>
                <w:sz w:val="24"/>
                <w:color w:val="392c69"/>
              </w:rPr>
              <w:t xml:space="preserve">,</w:t>
            </w:r>
          </w:p>
          <w:p>
            <w:pPr>
              <w:pStyle w:val="0"/>
              <w:jc w:val="center"/>
            </w:pPr>
            <w:r>
              <w:rPr>
                <w:sz w:val="24"/>
                <w:color w:val="392c69"/>
              </w:rPr>
              <w:t xml:space="preserve">от 29.12.2016 </w:t>
            </w:r>
            <w:hyperlink w:history="0" r:id="rId89"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 от 08.09.2017 </w:t>
            </w:r>
            <w:hyperlink w:history="0" r:id="rId90"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color w:val="392c69"/>
              </w:rPr>
              <w:t xml:space="preserve">, от 27.05.2020 </w:t>
            </w:r>
            <w:hyperlink w:history="0" r:id="rId91"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color w:val="392c69"/>
              </w:rPr>
              <w:t xml:space="preserve">,</w:t>
            </w:r>
          </w:p>
          <w:p>
            <w:pPr>
              <w:pStyle w:val="0"/>
              <w:jc w:val="center"/>
            </w:pPr>
            <w:r>
              <w:rPr>
                <w:sz w:val="24"/>
                <w:color w:val="392c69"/>
              </w:rPr>
              <w:t xml:space="preserve">от 01.11.2022 </w:t>
            </w:r>
            <w:hyperlink w:history="0" r:id="rId9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color w:val="392c69"/>
              </w:rPr>
              <w:t xml:space="preserve">, от 10.11.2022 </w:t>
            </w:r>
            <w:hyperlink w:history="0" r:id="rId93" w:tooltip="Постановление Правительства РФ от 10.11.2022 N 2041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2041</w:t>
              </w:r>
            </w:hyperlink>
            <w:r>
              <w:rPr>
                <w:sz w:val="24"/>
                <w:color w:val="392c69"/>
              </w:rPr>
              <w:t xml:space="preserve">, от 17.05.2023 </w:t>
            </w:r>
            <w:hyperlink w:history="0" r:id="rId94"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color w:val="392c69"/>
              </w:rPr>
              <w:t xml:space="preserve">,</w:t>
            </w:r>
          </w:p>
          <w:p>
            <w:pPr>
              <w:pStyle w:val="0"/>
              <w:jc w:val="center"/>
            </w:pPr>
            <w:r>
              <w:rPr>
                <w:sz w:val="24"/>
                <w:color w:val="392c69"/>
              </w:rPr>
              <w:t xml:space="preserve">от 20.09.2023 </w:t>
            </w:r>
            <w:hyperlink w:history="0" r:id="rId95" w:tooltip="Постановление Правительства РФ от 20.09.2023 N 1530 &quot;О внесении изменений в постановление Правительства Российской Федерации от 7 ноября 2005 г. N 655&quot; {КонсультантПлюс}">
              <w:r>
                <w:rPr>
                  <w:sz w:val="24"/>
                  <w:color w:val="0000ff"/>
                </w:rPr>
                <w:t xml:space="preserve">N 1530</w:t>
              </w:r>
            </w:hyperlink>
            <w:r>
              <w:rPr>
                <w:sz w:val="24"/>
                <w:color w:val="392c69"/>
              </w:rPr>
              <w:t xml:space="preserve">, от 01.07.2025 </w:t>
            </w:r>
            <w:hyperlink w:history="0" r:id="rId96"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Настоящие Правила, разработанные в соответствии с Федеральным </w:t>
      </w:r>
      <w:hyperlink w:history="0" r:id="rId9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 накопительно-ипотечной системе жилищного обеспечения военнослужащих" (далее - Федеральный закон), определяют порядок организации работы уполномоченного федерального </w:t>
      </w:r>
      <w:hyperlink w:history="0" r:id="rId98" w:tooltip="Указ Президента РФ от 20.04.2005 N 449 &quot;Вопросы накопительно-ипотечной системы жилищного обеспечения военнослужащих&quot; {КонсультантПлюс}">
        <w:r>
          <w:rPr>
            <w:sz w:val="24"/>
            <w:color w:val="0000ff"/>
          </w:rPr>
          <w:t xml:space="preserve">органа</w:t>
        </w:r>
      </w:hyperlink>
      <w:r>
        <w:rPr>
          <w:sz w:val="24"/>
        </w:rPr>
        <w:t xml:space="preserve"> исполнительной власти, обеспечивающего функционирование накопительно-ипотечной системы жилищного обеспечения военнослужащих (далее - уполномоченный федеральный орган), по формированию накоплений для жилищного обеспечения, учету их на именных накопительных счетах участников накопительно-ипотечной системы жилищного обеспечения военнослужащих (далее - участники накопительно-ипотечной системы) и передаче управляющим компаниям накоплений для жилищного обеспечения.</w:t>
      </w:r>
    </w:p>
    <w:p>
      <w:pPr>
        <w:pStyle w:val="0"/>
        <w:jc w:val="both"/>
      </w:pPr>
      <w:r>
        <w:rPr>
          <w:sz w:val="24"/>
        </w:rPr>
        <w:t xml:space="preserve">(в ред. </w:t>
      </w:r>
      <w:hyperlink w:history="0" r:id="rId99"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26.01.2012 N 23)</w:t>
      </w:r>
    </w:p>
    <w:p>
      <w:pPr>
        <w:pStyle w:val="0"/>
        <w:spacing w:before="240" w:line-rule="auto"/>
        <w:ind w:firstLine="540"/>
        <w:jc w:val="both"/>
      </w:pPr>
      <w:r>
        <w:rPr>
          <w:sz w:val="24"/>
        </w:rPr>
        <w:t xml:space="preserve">В настоящих Правилах используются понятия, определенные Федеральным </w:t>
      </w:r>
      <w:hyperlink w:history="0" r:id="rId10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w:t>
      </w:r>
    </w:p>
    <w:p>
      <w:pPr>
        <w:pStyle w:val="0"/>
        <w:jc w:val="both"/>
      </w:pPr>
      <w:r>
        <w:rPr>
          <w:sz w:val="24"/>
        </w:rPr>
        <w:t xml:space="preserve">(абзац введен </w:t>
      </w:r>
      <w:hyperlink w:history="0" r:id="rId101"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spacing w:before="240" w:line-rule="auto"/>
        <w:ind w:firstLine="540"/>
        <w:jc w:val="both"/>
      </w:pPr>
      <w:r>
        <w:rPr>
          <w:sz w:val="24"/>
        </w:rPr>
        <w:t xml:space="preserve">2. Планирование и использование средств федерального бюджета на финансирование накопительно-ипотечной системы жилищного обеспечения военнослужащих осуществляются уполномоченным федеральным органом и федеральными органами исполнительной власти (федеральными государственными органами) в порядке, определяемом бюджетным законодательством Российской Федерации и нормативными правовыми актами Правительства Российской Федерации.</w:t>
      </w:r>
    </w:p>
    <w:p>
      <w:pPr>
        <w:pStyle w:val="0"/>
        <w:jc w:val="both"/>
      </w:pPr>
      <w:r>
        <w:rPr>
          <w:sz w:val="24"/>
        </w:rPr>
        <w:t xml:space="preserve">(в ред. </w:t>
      </w:r>
      <w:hyperlink w:history="0" r:id="rId102"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3. Уполномоченный федеральный орган ежеквартально, до 5-го числа первого месяца квартала, определяет по состоянию на 1-е число первого месяца квартала фактическую потребность в накопительных взносах и представляет эти данные в Министерство финансов Российской Федерации для внесения изменений в бюджетную роспись.</w:t>
      </w:r>
    </w:p>
    <w:p>
      <w:pPr>
        <w:pStyle w:val="0"/>
        <w:spacing w:before="240" w:line-rule="auto"/>
        <w:ind w:firstLine="540"/>
        <w:jc w:val="both"/>
      </w:pPr>
      <w:r>
        <w:rPr>
          <w:sz w:val="24"/>
        </w:rPr>
        <w:t xml:space="preserve">4. Операции с накоплениями для жилищного обеспечения военнослужащих осуществляются на лицевом счете, открытом уполномоченному федеральному органу в территориальном органе Федерального казначейства для учета средств, поступающих в его временное распоряжение (далее - лицевой счет уполномоченного федерального органа).</w:t>
      </w:r>
    </w:p>
    <w:p>
      <w:pPr>
        <w:pStyle w:val="0"/>
        <w:spacing w:before="240" w:line-rule="auto"/>
        <w:ind w:firstLine="540"/>
        <w:jc w:val="both"/>
      </w:pPr>
      <w:r>
        <w:rPr>
          <w:sz w:val="24"/>
        </w:rPr>
        <w:t xml:space="preserve">5. На лицевом счете уполномоченного федерального органа подлежат отражению:</w:t>
      </w:r>
    </w:p>
    <w:p>
      <w:pPr>
        <w:pStyle w:val="0"/>
        <w:spacing w:before="240" w:line-rule="auto"/>
        <w:ind w:firstLine="540"/>
        <w:jc w:val="both"/>
      </w:pPr>
      <w:r>
        <w:rPr>
          <w:sz w:val="24"/>
        </w:rPr>
        <w:t xml:space="preserve">а) в части поступлений - поступления из федерального бюджета, накопительные взносы, доходы от инвестирования средств, переданных в доверительное управление управляющим компаниям, дополнительные выплаты, единовременные начисления для досрочного погашения ипотечных кредитов (займов), целевые средства, поступающие от управляющих компаний по запросу уполномоченного федерального органа, целевые средства, поступающие из иных не запрещенных законодательством Российской Федерации источников, средства, поступающие от участников накопительно-ипотечной системы, исключенных из реестра участников, у которых не возникли основания возникновения права на использование накоплений, учтенных на именном накопительном счете участника, предусмотренные </w:t>
      </w:r>
      <w:hyperlink w:history="0" r:id="rId10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статьей 10</w:t>
        </w:r>
      </w:hyperlink>
      <w:r>
        <w:rPr>
          <w:sz w:val="24"/>
        </w:rPr>
        <w:t xml:space="preserve"> Федерального закона;</w:t>
      </w:r>
    </w:p>
    <w:p>
      <w:pPr>
        <w:pStyle w:val="0"/>
        <w:jc w:val="both"/>
      </w:pPr>
      <w:r>
        <w:rPr>
          <w:sz w:val="24"/>
        </w:rPr>
        <w:t xml:space="preserve">(в ред. </w:t>
      </w:r>
      <w:hyperlink w:history="0" r:id="rId104"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б) в части платежей со счета - целевые жилищные займы, дополнительные выплаты, единовременные выплаты для досрочного погашения ипотечных кредитов (займов), передача средств в доверительное управление управляющим компаниям, выплата в установленном порядке накоплений для жилищного обеспечения.</w:t>
      </w:r>
    </w:p>
    <w:p>
      <w:pPr>
        <w:pStyle w:val="0"/>
        <w:jc w:val="both"/>
      </w:pPr>
      <w:r>
        <w:rPr>
          <w:sz w:val="24"/>
        </w:rPr>
        <w:t xml:space="preserve">(в ред. </w:t>
      </w:r>
      <w:hyperlink w:history="0" r:id="rId105"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6. Учет накопительных взносов на именных накопительных счетах участников накопительно-ипотечной системы производится ежемесячно, до 10-го числа текущего месяца, из расчета одной двенадцатой ежегодного накопительного взноса на одного участника накопительно-ипотечной системы с округлением до одного рубля, при этом нераспределенный остаток ежегодного накопительного взноса относится на последний месяц года.</w:t>
      </w:r>
    </w:p>
    <w:p>
      <w:pPr>
        <w:pStyle w:val="0"/>
        <w:jc w:val="both"/>
      </w:pPr>
      <w:r>
        <w:rPr>
          <w:sz w:val="24"/>
        </w:rPr>
        <w:t xml:space="preserve">(в ред. Постановлений Правительства РФ от 27.05.2020 </w:t>
      </w:r>
      <w:hyperlink w:history="0" r:id="rId106"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rPr>
        <w:t xml:space="preserve">, от 01.11.2022 </w:t>
      </w:r>
      <w:hyperlink w:history="0" r:id="rId10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 от 10.11.2022 </w:t>
      </w:r>
      <w:hyperlink w:history="0" r:id="rId108" w:tooltip="Постановление Правительства РФ от 10.11.2022 N 2041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2041</w:t>
        </w:r>
      </w:hyperlink>
      <w:r>
        <w:rPr>
          <w:sz w:val="24"/>
        </w:rPr>
        <w:t xml:space="preserve">)</w:t>
      </w:r>
    </w:p>
    <w:p>
      <w:pPr>
        <w:pStyle w:val="0"/>
        <w:spacing w:before="240" w:line-rule="auto"/>
        <w:ind w:firstLine="540"/>
        <w:jc w:val="both"/>
      </w:pPr>
      <w:r>
        <w:rPr>
          <w:sz w:val="24"/>
        </w:rPr>
        <w:t xml:space="preserve">Абзац утратил силу с 1 января 2023 года. - </w:t>
      </w:r>
      <w:hyperlink w:history="0" r:id="rId109" w:tooltip="Постановление Правительства РФ от 10.11.2022 N 2041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10.11.2022 N 2041.</w:t>
      </w:r>
    </w:p>
    <w:p>
      <w:pPr>
        <w:pStyle w:val="0"/>
        <w:spacing w:before="240" w:line-rule="auto"/>
        <w:ind w:firstLine="540"/>
        <w:jc w:val="both"/>
      </w:pPr>
      <w:r>
        <w:rPr>
          <w:sz w:val="24"/>
        </w:rPr>
        <w:t xml:space="preserve">Расчет накопительного взноса, подлежащего учету на именном накопительном счете участника накопительно-ипотечной системы, производится с даты возникновения основания для включения этого участника в реестр участников накопительно-ипотечной системы независимо от даты фактического включения его в указанный реестр и открытия в отношении его именного накопительного счета до даты возникновения основания для исключения его из указанного реестра.</w:t>
      </w:r>
    </w:p>
    <w:p>
      <w:pPr>
        <w:pStyle w:val="0"/>
        <w:spacing w:before="240" w:line-rule="auto"/>
        <w:ind w:firstLine="540"/>
        <w:jc w:val="both"/>
      </w:pPr>
      <w:r>
        <w:rPr>
          <w:sz w:val="24"/>
        </w:rPr>
        <w:t xml:space="preserve">Учет дополнительной выплаты на именном накопительном счете участника накопительно-ипотечной системы производится уполномоченным федеральным органом по решению федерального органа исполнительной власти (федерального государственного органа), в котором федеральным законом предусмотрена военная служба. Расчет размера дополнительной выплаты производится федеральным органом исполнительной власти (федеральным государственным органом) исходя из размера годового накопительного взноса на одного участника накопительно-ипотечной системы, устанавливаемого федеральным законом о федеральном бюджете на соответствующий год, и количества полных лет, месяцев и дней, которые участник накопительно-ипотечной системы не дослужил с даты возникновения основания для исключения его из реестра участников накопительно-ипотечной системы, которая соответствует дате исключения этого участника из списков личного состава воинской части, до даты, когда общая продолжительность его военной службы в календарном исчислении могла бы составить 20 лет (без учета дохода от инвестирования).</w:t>
      </w:r>
    </w:p>
    <w:p>
      <w:pPr>
        <w:pStyle w:val="0"/>
        <w:jc w:val="both"/>
      </w:pPr>
      <w:r>
        <w:rPr>
          <w:sz w:val="24"/>
        </w:rPr>
        <w:t xml:space="preserve">(абзац введен </w:t>
      </w:r>
      <w:hyperlink w:history="0" r:id="rId110"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spacing w:before="240" w:line-rule="auto"/>
        <w:ind w:firstLine="540"/>
        <w:jc w:val="both"/>
      </w:pPr>
      <w:r>
        <w:rPr>
          <w:sz w:val="24"/>
        </w:rPr>
        <w:t xml:space="preserve">В случае если участник накопительно-ипотечной системы исключен из реестра участников накопительно-ипотечной системы в связи с гибелью или смертью, признанием его в установленном законом порядке безвестно отсутствующим или объявлением его умершим или по состоянию здоровья в связи с признанием его не годным к военной службе, уполномоченный федеральный орган до 1-го числа месяца, следующего за месяцем, в котором от соответствующего федерального органа исполнительной власти (федерального государственного органа), в котором федеральным законом предусмотрена военная служба, получены сведения об исключении участника накопительно-ипотечной системы из реестра участников накопительно-ипотечной системы или письменное заявление лица, принявшего на себя обязательства по погашению ипотечного кредита (займа) в соответствии со </w:t>
      </w:r>
      <w:hyperlink w:history="0" r:id="rId111" w:tooltip="Федеральный закон от 27.12.2019 N 506-ФЗ &quot;О внесении изменений в статьи 4 и 12 Федерального закона &quot;О накопительно-ипотечной системе жилищного обеспечения военнослужащих&quot; {КонсультантПлюс}">
        <w:r>
          <w:rPr>
            <w:sz w:val="24"/>
            <w:color w:val="0000ff"/>
          </w:rPr>
          <w:t xml:space="preserve">статьей 2</w:t>
        </w:r>
      </w:hyperlink>
      <w:r>
        <w:rPr>
          <w:sz w:val="24"/>
        </w:rPr>
        <w:t xml:space="preserve"> Федерального закона "О внесении изменений в статьи 4 и 12 Федерального закона "О накопительно-ипотечной системе жилищного обеспечения военнослужащих", направляет кредитной организации, в которой учтена задолженность участника накопительно-ипотечной системы по ипотечному кредиту (займу), обращение о предоставлении информации об остатке задолженности с учетом начисленной суммы процентов участника накопительно-ипотечной системы по ипотечному кредиту (займу) и банковских реквизитов для перечисления денежных средств в целях досрочного исполнения обязательств по погашению ипотечного кредита (займа) участника. Кредитная организация в течение 5 рабочих дней со дня получения такого обращения представляет в уполномоченный федеральный орган информацию об остатке задолженности с учетом начисленной суммы процентов участника накопительно-ипотечной системы по ипотечному кредиту (займу) и банковские реквизиты для перечисления указанных денежных средств. Уполномоченный федеральный орган в течение 10 рабочих дней со дня получения информации от кредитной организации единовременно начисляет и учитывает на именном накопительном счете такого участника с учетом остатка накоплений для жилищного обеспечения на данном именном накопительном счете денежные средства в размере задолженности участника по ипотечному кредиту (займу) с учетом начисленных процентов.</w:t>
      </w:r>
    </w:p>
    <w:p>
      <w:pPr>
        <w:pStyle w:val="0"/>
        <w:jc w:val="both"/>
      </w:pPr>
      <w:r>
        <w:rPr>
          <w:sz w:val="24"/>
        </w:rPr>
        <w:t xml:space="preserve">(абзац введен </w:t>
      </w:r>
      <w:hyperlink w:history="0" r:id="rId112"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27.05.2020 N 758; в ред. </w:t>
      </w:r>
      <w:hyperlink w:history="0" r:id="rId113"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jc w:val="both"/>
      </w:pPr>
      <w:r>
        <w:rPr>
          <w:sz w:val="24"/>
        </w:rPr>
        <w:t xml:space="preserve">(п. 6 в ред. </w:t>
      </w:r>
      <w:hyperlink w:history="0" r:id="rId114" w:tooltip="Постановление Правительства РФ от 18.02.2016 N 115 &quot;О внесении изменений в Правила формирования накоплений для жилищного обеспечения и учета их на именных накопительных счетах участников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18.02.2016 N 115)</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6(1) (в ред. Постановления Правительства РФ от 20.09.2023 N 1530) </w:t>
            </w:r>
            <w:hyperlink w:history="0" r:id="rId115" w:tooltip="Постановление Правительства РФ от 20.09.2023 N 1530 &quot;О внесении изменений в постановление Правительства Российской Федерации от 7 ноября 2005 г. N 655&quot; {КонсультантПлюс}">
              <w:r>
                <w:rPr>
                  <w:sz w:val="24"/>
                  <w:color w:val="0000ff"/>
                </w:rPr>
                <w:t xml:space="preserve">распространяется</w:t>
              </w:r>
            </w:hyperlink>
            <w:r>
              <w:rPr>
                <w:sz w:val="24"/>
                <w:color w:val="392c69"/>
              </w:rPr>
              <w:t xml:space="preserve"> на военнослужащих, которые на 09.05.2023 включены в реестр участников, независимо от даты возникновения оснований для включения.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88" w:name="P188"/>
    <w:bookmarkEnd w:id="188"/>
    <w:p>
      <w:pPr>
        <w:pStyle w:val="0"/>
        <w:spacing w:before="300" w:line-rule="auto"/>
        <w:ind w:firstLine="540"/>
        <w:jc w:val="both"/>
      </w:pPr>
      <w:r>
        <w:rPr>
          <w:sz w:val="24"/>
        </w:rPr>
        <w:t xml:space="preserve">6(1). На именном накопительном счете при открытии именного накопительного счета участника накопительно-ипотечной системы, который поступил в добровольном порядке на военную службу из запаса, если он был исключен из реестра участников в связи с увольнением с военной службы, у которого при этом не возникло право на использование накоплений для жилищного обеспечения по одному из оснований, предусмотренных </w:t>
      </w:r>
      <w:hyperlink w:history="0" r:id="rId11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пунктом 2 части 1 статьи 10</w:t>
        </w:r>
      </w:hyperlink>
      <w:r>
        <w:rPr>
          <w:sz w:val="24"/>
        </w:rPr>
        <w:t xml:space="preserve"> Федерального закона, и который был включен в реестр участников по основанию, предусмотренному </w:t>
      </w:r>
      <w:hyperlink w:history="0" r:id="rId11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пунктом 14 части 2 статьи 9</w:t>
        </w:r>
      </w:hyperlink>
      <w:r>
        <w:rPr>
          <w:sz w:val="24"/>
        </w:rPr>
        <w:t xml:space="preserve"> Федерального закона, учитываются средства, указанные в </w:t>
      </w:r>
      <w:hyperlink w:history="0" r:id="rId11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7.1 статьи 5</w:t>
        </w:r>
      </w:hyperlink>
      <w:r>
        <w:rPr>
          <w:sz w:val="24"/>
        </w:rPr>
        <w:t xml:space="preserve"> Федерального закона.</w:t>
      </w:r>
    </w:p>
    <w:p>
      <w:pPr>
        <w:pStyle w:val="0"/>
        <w:jc w:val="both"/>
      </w:pPr>
      <w:r>
        <w:rPr>
          <w:sz w:val="24"/>
        </w:rPr>
        <w:t xml:space="preserve">(п. 6(1) введен </w:t>
      </w:r>
      <w:hyperlink w:history="0" r:id="rId119"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26.01.2012 N 23, в ред. Постановлений Правительства РФ от 17.09.2013 </w:t>
      </w:r>
      <w:hyperlink w:history="0" r:id="rId120"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rPr>
        <w:t xml:space="preserve">, от 08.09.2017 </w:t>
      </w:r>
      <w:hyperlink w:history="0" r:id="rId121"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rPr>
        <w:t xml:space="preserve">, от 17.05.2023 </w:t>
      </w:r>
      <w:hyperlink w:history="0" r:id="rId122"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 от 20.09.2023 </w:t>
      </w:r>
      <w:hyperlink w:history="0" r:id="rId123" w:tooltip="Постановление Правительства РФ от 20.09.2023 N 1530 &quot;О внесении изменений в постановление Правительства Российской Федерации от 7 ноября 2005 г. N 655&quot; {КонсультантПлюс}">
        <w:r>
          <w:rPr>
            <w:sz w:val="24"/>
            <w:color w:val="0000ff"/>
          </w:rPr>
          <w:t xml:space="preserve">N 1530</w:t>
        </w:r>
      </w:hyperlink>
      <w:r>
        <w:rPr>
          <w:sz w:val="24"/>
        </w:rPr>
        <w:t xml:space="preserve">)</w:t>
      </w:r>
    </w:p>
    <w:p>
      <w:pPr>
        <w:pStyle w:val="0"/>
        <w:spacing w:before="240" w:line-rule="auto"/>
        <w:ind w:firstLine="540"/>
        <w:jc w:val="both"/>
      </w:pPr>
      <w:r>
        <w:rPr>
          <w:sz w:val="24"/>
        </w:rPr>
        <w:t xml:space="preserve">6(2). На именном накопительном счете участника накопительно-ипотечной системы, включенного в реестр участников по основаниям, предусмотренным </w:t>
      </w:r>
      <w:hyperlink w:history="0" r:id="rId12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пунктом 14 части 2 статьи 9</w:t>
        </w:r>
      </w:hyperlink>
      <w:r>
        <w:rPr>
          <w:sz w:val="24"/>
        </w:rPr>
        <w:t xml:space="preserve"> Федерального закона, и имеющего задолженность перед уполномоченным федеральным органом по возврату средств целевого жилищного займа:</w:t>
      </w:r>
    </w:p>
    <w:p>
      <w:pPr>
        <w:pStyle w:val="0"/>
        <w:spacing w:before="240" w:line-rule="auto"/>
        <w:ind w:firstLine="540"/>
        <w:jc w:val="both"/>
      </w:pPr>
      <w:r>
        <w:rPr>
          <w:sz w:val="24"/>
        </w:rPr>
        <w:t xml:space="preserve">а) превышение размера средств, указанных в </w:t>
      </w:r>
      <w:hyperlink w:history="0" w:anchor="P188" w:tooltip="6(1). На именном накопительном счете при открытии именного накопительного счета участника накопительно-ипотечной системы, который поступил в добровольном порядке на военную службу из запаса, если он был исключен из реестра участников в связи с увольнением с военной службы, у которого при этом не возникло право на использование накоплений для жилищного обеспечения по одному из оснований, предусмотренных пунктом 2 части 1 статьи 10 Федерального закона, и который был включен в реестр участников по основанию...">
        <w:r>
          <w:rPr>
            <w:sz w:val="24"/>
            <w:color w:val="0000ff"/>
          </w:rPr>
          <w:t xml:space="preserve">пункте 6(1)</w:t>
        </w:r>
      </w:hyperlink>
      <w:r>
        <w:rPr>
          <w:sz w:val="24"/>
        </w:rPr>
        <w:t xml:space="preserve"> настоящих Правил, над этой задолженностью учитывается на именном накопительном счете участника накопительно-ипотечной системы как накопительные взносы средств федерального бюджета;</w:t>
      </w:r>
    </w:p>
    <w:p>
      <w:pPr>
        <w:pStyle w:val="0"/>
        <w:spacing w:before="240" w:line-rule="auto"/>
        <w:ind w:firstLine="540"/>
        <w:jc w:val="both"/>
      </w:pPr>
      <w:r>
        <w:rPr>
          <w:sz w:val="24"/>
        </w:rPr>
        <w:t xml:space="preserve">б) превышение размера этой задолженности над размером средств, указанных в </w:t>
      </w:r>
      <w:hyperlink w:history="0" w:anchor="P188" w:tooltip="6(1). На именном накопительном счете при открытии именного накопительного счета участника накопительно-ипотечной системы, который поступил в добровольном порядке на военную службу из запаса, если он был исключен из реестра участников в связи с увольнением с военной службы, у которого при этом не возникло право на использование накоплений для жилищного обеспечения по одному из оснований, предусмотренных пунктом 2 части 1 статьи 10 Федерального закона, и который был включен в реестр участников по основанию...">
        <w:r>
          <w:rPr>
            <w:sz w:val="24"/>
            <w:color w:val="0000ff"/>
          </w:rPr>
          <w:t xml:space="preserve">пункте 6(1)</w:t>
        </w:r>
      </w:hyperlink>
      <w:r>
        <w:rPr>
          <w:sz w:val="24"/>
        </w:rPr>
        <w:t xml:space="preserve"> настоящих Правил, учитывается на именном накопительном счете участника накопительно-ипотечной системы как задолженность перед уполномоченным федеральным органом, подлежащая погашению за счет накоплений для жилищного обеспечения.</w:t>
      </w:r>
    </w:p>
    <w:p>
      <w:pPr>
        <w:pStyle w:val="0"/>
        <w:jc w:val="both"/>
      </w:pPr>
      <w:r>
        <w:rPr>
          <w:sz w:val="24"/>
        </w:rPr>
        <w:t xml:space="preserve">(п. 6(2) введен </w:t>
      </w:r>
      <w:hyperlink w:history="0" r:id="rId125"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26.01.2012 N 23)</w:t>
      </w:r>
    </w:p>
    <w:p>
      <w:pPr>
        <w:pStyle w:val="0"/>
        <w:spacing w:before="240" w:line-rule="auto"/>
        <w:ind w:firstLine="540"/>
        <w:jc w:val="both"/>
      </w:pPr>
      <w:r>
        <w:rPr>
          <w:sz w:val="24"/>
        </w:rPr>
        <w:t xml:space="preserve">6(3). Уполномоченный федеральный орган в течение 30 рабочих дней со дня получения от федерального органа исполнительной власти (федерального государственного органа), в котором федеральным законом предусмотрена военная служба, сведений о включении гражданина, указанного в </w:t>
      </w:r>
      <w:hyperlink w:history="0" r:id="rId12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17 части 2 статьи 9</w:t>
        </w:r>
      </w:hyperlink>
      <w:r>
        <w:rPr>
          <w:sz w:val="24"/>
        </w:rPr>
        <w:t xml:space="preserve"> Федерального закона, в реестр участников накопительно-ипотечной системы по </w:t>
      </w:r>
      <w:r>
        <w:rPr>
          <w:sz w:val="24"/>
        </w:rPr>
        <w:t xml:space="preserve">форме</w:t>
      </w:r>
      <w:r>
        <w:rPr>
          <w:sz w:val="24"/>
        </w:rPr>
        <w:t xml:space="preserve">, утверждаемой уполномоченным федеральным органом, единовременно начисляет и учитывает на именном накопительном счете такого участника сумму накопительных взносов, определенную в соответствии с </w:t>
      </w:r>
      <w:hyperlink w:history="0" r:id="rId12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частями 7.2</w:t>
        </w:r>
      </w:hyperlink>
      <w:r>
        <w:rPr>
          <w:sz w:val="24"/>
        </w:rPr>
        <w:t xml:space="preserve"> и </w:t>
      </w:r>
      <w:hyperlink w:history="0" r:id="rId12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7.3 статьи 5</w:t>
        </w:r>
      </w:hyperlink>
      <w:r>
        <w:rPr>
          <w:sz w:val="24"/>
        </w:rPr>
        <w:t xml:space="preserve"> Федерального закона, с учетом всех периодов прохождения военнослужащим военной службы по контракту, указываемых в данных сведениях, в том числе периодов прохождения военной службы в порядке и на условиях, которые определены международными договорами Российской Федерации (соглашениями).</w:t>
      </w:r>
    </w:p>
    <w:p>
      <w:pPr>
        <w:pStyle w:val="0"/>
        <w:jc w:val="both"/>
      </w:pPr>
      <w:r>
        <w:rPr>
          <w:sz w:val="24"/>
        </w:rPr>
        <w:t xml:space="preserve">(п. 6(3) введен </w:t>
      </w:r>
      <w:hyperlink w:history="0" r:id="rId129"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01.07.2025 N 995)</w:t>
      </w:r>
    </w:p>
    <w:bookmarkStart w:id="196" w:name="P196"/>
    <w:bookmarkEnd w:id="196"/>
    <w:p>
      <w:pPr>
        <w:pStyle w:val="0"/>
        <w:spacing w:before="240" w:line-rule="auto"/>
        <w:ind w:firstLine="540"/>
        <w:jc w:val="both"/>
      </w:pPr>
      <w:r>
        <w:rPr>
          <w:sz w:val="24"/>
        </w:rPr>
        <w:t xml:space="preserve">6(4). Федеральный орган исполнительной власти (федеральный государственный орган), в котором федеральным законом предусмотрена военная служба, в течение 20 рабочих дней со дня получения заявления гражданина Российской Федерации, указанного в </w:t>
      </w:r>
      <w:hyperlink w:history="0" r:id="rId130"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части 5 статьи 3</w:t>
        </w:r>
      </w:hyperlink>
      <w:r>
        <w:rPr>
          <w:sz w:val="24"/>
        </w:rPr>
        <w:t xml:space="preserve"> Федерального закона "О внесении изменений в статью 15 Федерального закона "О статусе военнослужащих" и Федеральный закон "О накопительно-ипотечной системе жилищного обеспечения военнослужащих" (далее - гражданин), о выплате накопительных взносов направляет в уполномоченный федеральный орган сведения для осуществления выплаты гражданину денежных средств с указанием суммы дополнительной выплаты и всех периодов прохождения гражданином военной службы по контракту, в том числе периодов прохождения военной службы в порядке и на условиях, которые определены международными договорами Российской Федерации (соглашениями), по </w:t>
      </w:r>
      <w:r>
        <w:rPr>
          <w:sz w:val="24"/>
        </w:rPr>
        <w:t xml:space="preserve">форме</w:t>
      </w:r>
      <w:r>
        <w:rPr>
          <w:sz w:val="24"/>
        </w:rPr>
        <w:t xml:space="preserve">, утверждаемой уполномоченным федеральным органом.</w:t>
      </w:r>
    </w:p>
    <w:p>
      <w:pPr>
        <w:pStyle w:val="0"/>
        <w:spacing w:before="240" w:line-rule="auto"/>
        <w:ind w:firstLine="540"/>
        <w:jc w:val="both"/>
      </w:pPr>
      <w:r>
        <w:rPr>
          <w:sz w:val="24"/>
        </w:rPr>
        <w:t xml:space="preserve">Уполномоченный федеральный орган в течение 30 рабочих дней со дня получения от соответствующего федерального органа исполнительной власти (федерального государственного органа), в котором федеральным законом предусмотрена военная служба, сведений, указанных в </w:t>
      </w:r>
      <w:hyperlink w:history="0" w:anchor="P196" w:tooltip="6(4). Федеральный орган исполнительной власти (федеральный государственный орган), в котором федеральным законом предусмотрена военная служба, в течение 20 рабочих дней со дня получения заявления гражданина Российской Федерации, указанного в части 5 статьи 3 Федерального закона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далее - гражданин), о выплате накопительных взносов напр...">
        <w:r>
          <w:rPr>
            <w:sz w:val="24"/>
            <w:color w:val="0000ff"/>
          </w:rPr>
          <w:t xml:space="preserve">абзаце первом</w:t>
        </w:r>
      </w:hyperlink>
      <w:r>
        <w:rPr>
          <w:sz w:val="24"/>
        </w:rPr>
        <w:t xml:space="preserve"> настоящего пункта, принимает решение о выплате с расчетом суммы накопительных взносов либо об отказе в выплате.</w:t>
      </w:r>
    </w:p>
    <w:p>
      <w:pPr>
        <w:pStyle w:val="0"/>
        <w:spacing w:before="240" w:line-rule="auto"/>
        <w:ind w:firstLine="540"/>
        <w:jc w:val="both"/>
      </w:pPr>
      <w:r>
        <w:rPr>
          <w:sz w:val="24"/>
        </w:rPr>
        <w:t xml:space="preserve">Гражданин несет ответственность за достоверность сведений, указанных в заявлении о выплате накопительных взносов.</w:t>
      </w:r>
    </w:p>
    <w:p>
      <w:pPr>
        <w:pStyle w:val="0"/>
        <w:spacing w:before="240" w:line-rule="auto"/>
        <w:ind w:firstLine="540"/>
        <w:jc w:val="both"/>
      </w:pPr>
      <w:r>
        <w:rPr>
          <w:sz w:val="24"/>
        </w:rPr>
        <w:t xml:space="preserve">Форма</w:t>
      </w:r>
      <w:r>
        <w:rPr>
          <w:sz w:val="24"/>
        </w:rPr>
        <w:t xml:space="preserve"> заявления, указанного в настоящем пункте, определяется соответствующим федеральным органом исполнительной власти (федеральным государственным органом), в котором федеральным законом предусмотрена военная служба.</w:t>
      </w:r>
    </w:p>
    <w:p>
      <w:pPr>
        <w:pStyle w:val="0"/>
        <w:jc w:val="both"/>
      </w:pPr>
      <w:r>
        <w:rPr>
          <w:sz w:val="24"/>
        </w:rPr>
        <w:t xml:space="preserve">(п. 6(4) введен </w:t>
      </w:r>
      <w:hyperlink w:history="0" r:id="rId131"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01.07.2025 N 995)</w:t>
      </w:r>
    </w:p>
    <w:p>
      <w:pPr>
        <w:pStyle w:val="0"/>
        <w:spacing w:before="240" w:line-rule="auto"/>
        <w:ind w:firstLine="540"/>
        <w:jc w:val="both"/>
      </w:pPr>
      <w:r>
        <w:rPr>
          <w:sz w:val="24"/>
        </w:rPr>
        <w:t xml:space="preserve">7. Уполномоченный федеральный орган на основании согласованных со специализированным депозитарием отчетов управляющих компаний о доходах от инвестирования средств, переданных в доверительное управление управляющим компаниям, производит расчет суммы дохода от инвестирования указанных средств, определенного на последний день отчетного квартала.</w:t>
      </w:r>
    </w:p>
    <w:p>
      <w:pPr>
        <w:pStyle w:val="0"/>
        <w:jc w:val="both"/>
      </w:pPr>
      <w:r>
        <w:rPr>
          <w:sz w:val="24"/>
        </w:rPr>
        <w:t xml:space="preserve">(в ред. </w:t>
      </w:r>
      <w:hyperlink w:history="0" r:id="rId132" w:tooltip="Постановление Правительства РФ от 18.02.2016 N 115 &quot;О внесении изменений в Правила формирования накоплений для жилищного обеспечения и учета их на именных накопительных счетах участников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18.02.2016 N 115)</w:t>
      </w:r>
    </w:p>
    <w:p>
      <w:pPr>
        <w:pStyle w:val="0"/>
        <w:spacing w:before="240" w:line-rule="auto"/>
        <w:ind w:firstLine="540"/>
        <w:jc w:val="both"/>
      </w:pPr>
      <w:r>
        <w:rPr>
          <w:sz w:val="24"/>
        </w:rPr>
        <w:t xml:space="preserve">Доходы от инвестирования учитываются на именных накопительных счетах участников накопительно-ипотечной системы с учетом оплаты расходов на инвестирование накоплений для жилищного обеспечения и вознаграждения, удержанного управляющими компаниями.</w:t>
      </w:r>
    </w:p>
    <w:p>
      <w:pPr>
        <w:pStyle w:val="0"/>
        <w:spacing w:before="240" w:line-rule="auto"/>
        <w:ind w:firstLine="540"/>
        <w:jc w:val="both"/>
      </w:pPr>
      <w:r>
        <w:rPr>
          <w:sz w:val="24"/>
        </w:rPr>
        <w:t xml:space="preserve">Расчет суммы дохода от инвестирования средств, переданных в доверительное управление, для учета его на именных накопительных счетах участников накопительно-ипотечной системы осуществляется ежеквартально, не позднее 30-го числа месяца, следующего за отчетным кварталом, пропорционально накоплениям для жилищного обеспечения, учтенным на именных накопительных счетах, и срокам их инвестирования за отчетный период с округлением до копейки.</w:t>
      </w:r>
    </w:p>
    <w:p>
      <w:pPr>
        <w:pStyle w:val="0"/>
        <w:spacing w:before="240" w:line-rule="auto"/>
        <w:ind w:firstLine="540"/>
        <w:jc w:val="both"/>
      </w:pPr>
      <w:r>
        <w:rPr>
          <w:sz w:val="24"/>
        </w:rPr>
        <w:t xml:space="preserve">В расчет суммы дохода от инвестирования средств, переданных в доверительное управление, включается процентный доход по целевым жилищным займам, предусмотренный </w:t>
      </w:r>
      <w:hyperlink w:history="0" r:id="rId13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15</w:t>
        </w:r>
      </w:hyperlink>
      <w:r>
        <w:rPr>
          <w:sz w:val="24"/>
        </w:rPr>
        <w:t xml:space="preserve"> Федерального закона.</w:t>
      </w:r>
    </w:p>
    <w:p>
      <w:pPr>
        <w:pStyle w:val="0"/>
        <w:spacing w:before="240" w:line-rule="auto"/>
        <w:ind w:firstLine="540"/>
        <w:jc w:val="both"/>
      </w:pPr>
      <w:r>
        <w:rPr>
          <w:sz w:val="24"/>
        </w:rPr>
        <w:t xml:space="preserve">Доход от инвестирования средств, переданных в доверительное управление, учитывается на именных накопительных счетах участников накопительно-ипотечной системы по состоянию на последний день отчетного квартала, за который был получен доход.</w:t>
      </w:r>
    </w:p>
    <w:p>
      <w:pPr>
        <w:pStyle w:val="0"/>
        <w:spacing w:before="240" w:line-rule="auto"/>
        <w:ind w:firstLine="540"/>
        <w:jc w:val="both"/>
      </w:pPr>
      <w:r>
        <w:rPr>
          <w:sz w:val="24"/>
        </w:rPr>
        <w:t xml:space="preserve">Остаток дохода от инвестирования средств, переданных в доверительное управление, возникший вследствие округления до копейки и не распределенный по именным накопительным счетам участников накопительно-ипотечной системы, отражается на отдельном счете аналитического учета. Указанный остаток прибавляется к сумме дохода от инвестирования, подлежащего распределению по именным накопительным счетам участников накопительно-ипотечной системы в следующем квартале.</w:t>
      </w:r>
    </w:p>
    <w:p>
      <w:pPr>
        <w:pStyle w:val="0"/>
        <w:spacing w:before="240" w:line-rule="auto"/>
        <w:ind w:firstLine="540"/>
        <w:jc w:val="both"/>
      </w:pPr>
      <w:r>
        <w:rPr>
          <w:sz w:val="24"/>
        </w:rPr>
        <w:t xml:space="preserve">В случае получения отрицательного финансового результата при расчете суммы дохода от инвестирования средств, переданных в доверительное управление, его итоги не учитываются на именных накопительных счетах участников накопительно-ипотечной системы и отражаются на отдельном счете аналитического учета до полного покрытия положительными финансовыми результатами от инвестирования в последующих отчетных периодах.</w:t>
      </w:r>
    </w:p>
    <w:p>
      <w:pPr>
        <w:pStyle w:val="0"/>
        <w:jc w:val="both"/>
      </w:pPr>
      <w:r>
        <w:rPr>
          <w:sz w:val="24"/>
        </w:rPr>
        <w:t xml:space="preserve">(п. 7 в ред. </w:t>
      </w:r>
      <w:hyperlink w:history="0" r:id="rId134"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17.09.2013 N 811)</w:t>
      </w:r>
    </w:p>
    <w:p>
      <w:pPr>
        <w:pStyle w:val="0"/>
        <w:spacing w:before="240" w:line-rule="auto"/>
        <w:ind w:firstLine="540"/>
        <w:jc w:val="both"/>
      </w:pPr>
      <w:r>
        <w:rPr>
          <w:sz w:val="24"/>
        </w:rPr>
        <w:t xml:space="preserve">8. Иные не запрещенные законодательством Российской Федерации поступления учитываются на именном накопительном счете участника накопительно-ипотечной системы пропорционально накоплениям, учтенным на именном накопительном счете этого участника по состоянию на дату поступления таких средств.</w:t>
      </w:r>
    </w:p>
    <w:p>
      <w:pPr>
        <w:pStyle w:val="0"/>
        <w:spacing w:before="240" w:line-rule="auto"/>
        <w:ind w:firstLine="540"/>
        <w:jc w:val="both"/>
      </w:pPr>
      <w:r>
        <w:rPr>
          <w:sz w:val="24"/>
        </w:rPr>
        <w:t xml:space="preserve">9. При закрытии именного накопительного счета участника накопительно-ипотечной системы, выбывающего из накопительно-ипотечной системы без права на использование накоплений для жилищного обеспечения, накопления для жилищного обеспечения, учтенные на его именном накопительном счете, подлежат возврату в федеральный бюджет в соответствии с </w:t>
      </w:r>
      <w:hyperlink w:history="0" w:anchor="P232" w:tooltip="ПРАВИЛА">
        <w:r>
          <w:rPr>
            <w:sz w:val="24"/>
            <w:color w:val="0000ff"/>
          </w:rPr>
          <w:t xml:space="preserve">порядком и условиями</w:t>
        </w:r>
      </w:hyperlink>
      <w:r>
        <w:rPr>
          <w:sz w:val="24"/>
        </w:rPr>
        <w:t xml:space="preserve"> использования накоплений для жилищного обеспечения.</w:t>
      </w:r>
    </w:p>
    <w:p>
      <w:pPr>
        <w:pStyle w:val="0"/>
        <w:spacing w:before="240" w:line-rule="auto"/>
        <w:ind w:firstLine="540"/>
        <w:jc w:val="both"/>
      </w:pPr>
      <w:r>
        <w:rPr>
          <w:sz w:val="24"/>
        </w:rPr>
        <w:t xml:space="preserve">10. При закрытии именного накопительного счета участника накопительно-ипотечной системы, выбывающего из накопительно-ипотечной системы с правом на использование накоплений для жилищного обеспечения, уполномоченный федеральный орган определяет размер накоплений для жилищного обеспечения, учтенных на именном накопительном счете на дату возникновения основания для исключения указанного военнослужащего из реестра участников накопительно-ипотечной системы. Данные средства используются и учитываются в соответствии с </w:t>
      </w:r>
      <w:hyperlink w:history="0" w:anchor="P232" w:tooltip="ПРАВИЛА">
        <w:r>
          <w:rPr>
            <w:sz w:val="24"/>
            <w:color w:val="0000ff"/>
          </w:rPr>
          <w:t xml:space="preserve">порядком и условиями</w:t>
        </w:r>
      </w:hyperlink>
      <w:r>
        <w:rPr>
          <w:sz w:val="24"/>
        </w:rPr>
        <w:t xml:space="preserve"> использования накоплений для жилищного обеспечения.</w:t>
      </w:r>
    </w:p>
    <w:p>
      <w:pPr>
        <w:pStyle w:val="0"/>
        <w:jc w:val="both"/>
      </w:pPr>
      <w:r>
        <w:rPr>
          <w:sz w:val="24"/>
        </w:rPr>
        <w:t xml:space="preserve">(в ред. </w:t>
      </w:r>
      <w:hyperlink w:history="0" r:id="rId135"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rPr>
        <w:t xml:space="preserve"> Правительства РФ от 31.01.2009 N 78)</w:t>
      </w:r>
    </w:p>
    <w:p>
      <w:pPr>
        <w:pStyle w:val="0"/>
        <w:spacing w:before="240" w:line-rule="auto"/>
        <w:ind w:firstLine="540"/>
        <w:jc w:val="both"/>
      </w:pPr>
      <w:r>
        <w:rPr>
          <w:sz w:val="24"/>
        </w:rPr>
        <w:t xml:space="preserve">Накопления для жилищного обеспечения, учтенные на именном накопительном счете участника накопительно-ипотечной системы после возникновения основания для исключения военнослужащего из реестра участников накопительно-ипотечной системы, подлежат возврату в федеральный бюджет.</w:t>
      </w:r>
    </w:p>
    <w:p>
      <w:pPr>
        <w:pStyle w:val="0"/>
        <w:jc w:val="both"/>
      </w:pPr>
      <w:r>
        <w:rPr>
          <w:sz w:val="24"/>
        </w:rPr>
        <w:t xml:space="preserve">(в ред. </w:t>
      </w:r>
      <w:hyperlink w:history="0" r:id="rId136"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rPr>
        <w:t xml:space="preserve"> Правительства РФ от 31.01.2009 N 78)</w:t>
      </w:r>
    </w:p>
    <w:p>
      <w:pPr>
        <w:pStyle w:val="0"/>
        <w:spacing w:before="240" w:line-rule="auto"/>
        <w:ind w:firstLine="540"/>
        <w:jc w:val="both"/>
      </w:pPr>
      <w:r>
        <w:rPr>
          <w:sz w:val="24"/>
        </w:rPr>
        <w:t xml:space="preserve">11. Передача накоплений для жилищного обеспечения в доверительное управление управляющим компаниям осуществляется уполномоченным федеральным органом после их поступления на лицевой счет уполномоченного федерального органа путем перечисления на отдельный банковский счет (отдельные банковские счета) управляющих компаний в порядке и сроки, установленные договорами доверительного управления.</w:t>
      </w:r>
    </w:p>
    <w:p>
      <w:pPr>
        <w:pStyle w:val="0"/>
        <w:spacing w:before="240" w:line-rule="auto"/>
        <w:ind w:firstLine="540"/>
        <w:jc w:val="both"/>
      </w:pPr>
      <w:r>
        <w:rPr>
          <w:sz w:val="24"/>
        </w:rPr>
        <w:t xml:space="preserve">Передаче в доверительное управление подлежат накопления для жилищного обеспечения, поступившие на лицевой счет уполномоченного федерального органа, за исключением средств, которые в соответствии с утвержденным годовым финансовым планом уполномоченного федерального органа направляются им для целевого использования участниками накопительно-ипотечной системы за счет накоплений для жилищного обеспечения в течение одного месяца, следующего за днем получения уполномоченным федеральным органом накопительных взносов и иных накоплений для жилищного обеспечения.</w:t>
      </w:r>
    </w:p>
    <w:p>
      <w:pPr>
        <w:pStyle w:val="0"/>
        <w:jc w:val="both"/>
      </w:pPr>
      <w:r>
        <w:rPr>
          <w:sz w:val="24"/>
        </w:rPr>
        <w:t xml:space="preserve">(в ред. </w:t>
      </w:r>
      <w:hyperlink w:history="0" r:id="rId137"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27.05.2020 N 758)</w:t>
      </w:r>
    </w:p>
    <w:p>
      <w:pPr>
        <w:pStyle w:val="0"/>
        <w:jc w:val="both"/>
      </w:pPr>
      <w:r>
        <w:rPr>
          <w:sz w:val="24"/>
        </w:rPr>
        <w:t xml:space="preserve">(п. 11 в ред. </w:t>
      </w:r>
      <w:hyperlink w:history="0" r:id="rId138" w:tooltip="Постановление Правительства РФ от 18.02.2016 N 115 &quot;О внесении изменений в Правила формирования накоплений для жилищного обеспечения и учета их на именных накопительных счетах участников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18.02.2016 N 115)</w:t>
      </w:r>
    </w:p>
    <w:p>
      <w:pPr>
        <w:pStyle w:val="0"/>
        <w:spacing w:before="240" w:line-rule="auto"/>
        <w:ind w:firstLine="540"/>
        <w:jc w:val="both"/>
      </w:pPr>
      <w:r>
        <w:rPr>
          <w:sz w:val="24"/>
        </w:rPr>
        <w:t xml:space="preserve">12. Бухгалтерский учет имущества, обязательств и хозяйственных операций уполномоченного федерального органа осуществляется в </w:t>
      </w:r>
      <w:hyperlink w:history="0" r:id="rId139" w:tooltip="Приказ Минфина России от 29.07.1998 N 34н (ред. от 11.04.2018) &quot;Об утверждении Положения по ведению бухгалтерского учета и бухгалтерской отчетности в Российской Федерации&quot; (Зарегистрировано в Минюсте России 27.08.1998 N 1598) {КонсультантПлюс}">
        <w:r>
          <w:rPr>
            <w:sz w:val="24"/>
            <w:color w:val="0000ff"/>
          </w:rPr>
          <w:t xml:space="preserve">порядке</w:t>
        </w:r>
      </w:hyperlink>
      <w:r>
        <w:rPr>
          <w:sz w:val="24"/>
        </w:rPr>
        <w:t xml:space="preserve">, установленном Министерством финансов Российской Федерации.</w:t>
      </w:r>
    </w:p>
    <w:p>
      <w:pPr>
        <w:pStyle w:val="0"/>
        <w:spacing w:before="240" w:line-rule="auto"/>
        <w:ind w:firstLine="540"/>
        <w:jc w:val="both"/>
      </w:pPr>
      <w:r>
        <w:rPr>
          <w:sz w:val="24"/>
        </w:rPr>
        <w:t xml:space="preserve">Уполномоченный федеральный орган при подготовке отчетности в состав остатков средств включает остаток средств на лицевом счете уполномоченного федерального органа и средства, переданные в доверительное управление управляющим компаниям.</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7 ноября 2005 г. N 655</w:t>
      </w:r>
    </w:p>
    <w:p>
      <w:pPr>
        <w:pStyle w:val="0"/>
        <w:ind w:firstLine="540"/>
        <w:jc w:val="both"/>
      </w:pPr>
      <w:r>
        <w:rPr>
          <w:sz w:val="24"/>
        </w:rPr>
      </w:r>
    </w:p>
    <w:bookmarkStart w:id="232" w:name="P232"/>
    <w:bookmarkEnd w:id="232"/>
    <w:p>
      <w:pPr>
        <w:pStyle w:val="2"/>
        <w:jc w:val="center"/>
      </w:pPr>
      <w:r>
        <w:rPr>
          <w:sz w:val="24"/>
        </w:rPr>
        <w:t xml:space="preserve">ПРАВИЛА</w:t>
      </w:r>
    </w:p>
    <w:p>
      <w:pPr>
        <w:pStyle w:val="2"/>
        <w:jc w:val="center"/>
      </w:pPr>
      <w:r>
        <w:rPr>
          <w:sz w:val="24"/>
        </w:rPr>
        <w:t xml:space="preserve">ИСПОЛЬЗОВАНИЯ НАКОПЛЕНИЙ ДЛЯ ЖИЛИЩНОГО</w:t>
      </w:r>
    </w:p>
    <w:p>
      <w:pPr>
        <w:pStyle w:val="2"/>
        <w:jc w:val="center"/>
      </w:pPr>
      <w:r>
        <w:rPr>
          <w:sz w:val="24"/>
        </w:rPr>
        <w:t xml:space="preserve">ОБЕСПЕЧЕНИЯ ВОЕННОСЛУЖАЩИХ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140" w:tooltip="Постановление Правительства РФ от 17.10.2006 N 614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Постановлением</w:t>
              </w:r>
            </w:hyperlink>
            <w:r>
              <w:rPr>
                <w:sz w:val="24"/>
                <w:color w:val="392c69"/>
              </w:rPr>
              <w:t xml:space="preserve"> Правительства РФ от 17.10.2006 N 614,</w:t>
            </w:r>
          </w:p>
          <w:p>
            <w:pPr>
              <w:pStyle w:val="0"/>
              <w:jc w:val="center"/>
            </w:pPr>
            <w:r>
              <w:rPr>
                <w:sz w:val="24"/>
                <w:color w:val="392c69"/>
              </w:rPr>
              <w:t xml:space="preserve">в ред. Постановлений Правительства РФ от 15.05.2008 </w:t>
            </w:r>
            <w:hyperlink w:history="0" r:id="rId141"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370</w:t>
              </w:r>
            </w:hyperlink>
            <w:r>
              <w:rPr>
                <w:sz w:val="24"/>
                <w:color w:val="392c69"/>
              </w:rPr>
              <w:t xml:space="preserve">,</w:t>
            </w:r>
          </w:p>
          <w:p>
            <w:pPr>
              <w:pStyle w:val="0"/>
              <w:jc w:val="center"/>
            </w:pPr>
            <w:r>
              <w:rPr>
                <w:sz w:val="24"/>
                <w:color w:val="392c69"/>
              </w:rPr>
              <w:t xml:space="preserve">от 31.01.2009 </w:t>
            </w:r>
            <w:hyperlink w:history="0" r:id="rId142"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color w:val="392c69"/>
              </w:rPr>
              <w:t xml:space="preserve">, от 26.01.2012 </w:t>
            </w:r>
            <w:hyperlink w:history="0" r:id="rId143" w:tooltip="Постановление Правительства РФ от 26.01.2012 N 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23</w:t>
              </w:r>
            </w:hyperlink>
            <w:r>
              <w:rPr>
                <w:sz w:val="24"/>
                <w:color w:val="392c69"/>
              </w:rPr>
              <w:t xml:space="preserve">, от 17.09.2013 </w:t>
            </w:r>
            <w:hyperlink w:history="0" r:id="rId144"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color w:val="392c69"/>
              </w:rPr>
              <w:t xml:space="preserve">,</w:t>
            </w:r>
          </w:p>
          <w:p>
            <w:pPr>
              <w:pStyle w:val="0"/>
              <w:jc w:val="center"/>
            </w:pPr>
            <w:r>
              <w:rPr>
                <w:sz w:val="24"/>
                <w:color w:val="392c69"/>
              </w:rPr>
              <w:t xml:space="preserve">от 12.11.2016 </w:t>
            </w:r>
            <w:hyperlink w:history="0" r:id="rId145"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color w:val="392c69"/>
              </w:rPr>
              <w:t xml:space="preserve">, от 29.12.2016 </w:t>
            </w:r>
            <w:hyperlink w:history="0" r:id="rId146"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 от 27.05.2020 </w:t>
            </w:r>
            <w:hyperlink w:history="0" r:id="rId147"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color w:val="392c69"/>
              </w:rPr>
              <w:t xml:space="preserve">,</w:t>
            </w:r>
          </w:p>
          <w:p>
            <w:pPr>
              <w:pStyle w:val="0"/>
              <w:jc w:val="center"/>
            </w:pPr>
            <w:r>
              <w:rPr>
                <w:sz w:val="24"/>
                <w:color w:val="392c69"/>
              </w:rPr>
              <w:t xml:space="preserve">от 01.11.2022 </w:t>
            </w:r>
            <w:hyperlink w:history="0" r:id="rId14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color w:val="392c69"/>
              </w:rPr>
              <w:t xml:space="preserve">, от 17.05.2023 </w:t>
            </w:r>
            <w:hyperlink w:history="0" r:id="rId14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color w:val="392c69"/>
              </w:rPr>
              <w:t xml:space="preserve">, от 01.07.2025 </w:t>
            </w:r>
            <w:hyperlink w:history="0" r:id="rId150"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Настоящие Правила разработаны в соответствии с Федеральным </w:t>
      </w:r>
      <w:hyperlink w:history="0" r:id="rId15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 накопительно-ипотечной системе жилищного обеспечения военнослужащих" (далее - Федеральный закон) и определяют порядок и условия:</w:t>
      </w:r>
    </w:p>
    <w:p>
      <w:pPr>
        <w:pStyle w:val="0"/>
        <w:spacing w:before="240" w:line-rule="auto"/>
        <w:ind w:firstLine="540"/>
        <w:jc w:val="both"/>
      </w:pPr>
      <w:r>
        <w:rPr>
          <w:sz w:val="24"/>
        </w:rPr>
        <w:t xml:space="preserve">исполнения федеральным </w:t>
      </w:r>
      <w:hyperlink w:history="0" r:id="rId152" w:tooltip="Указ Президента РФ от 20.04.2005 N 449 &quot;Вопросы накопительно-ипотечной системы жилищного обеспечения военнослужащих&quot; {КонсультантПлюс}">
        <w:r>
          <w:rPr>
            <w:sz w:val="24"/>
            <w:color w:val="0000ff"/>
          </w:rPr>
          <w:t xml:space="preserve">органом</w:t>
        </w:r>
      </w:hyperlink>
      <w:r>
        <w:rPr>
          <w:sz w:val="24"/>
        </w:rPr>
        <w:t xml:space="preserve"> исполнительной власти, обеспечивающим функционирование накопительно-ипотечной системы жилищного обеспечения военнослужащих (далее - уполномоченный федеральный орган), обязанностей по организации использования накоплений для жилищного обеспечения военнослужащих, в том числе после закрытия именного накопительного счета участника накопительно-ипотечной системы жилищного обеспечения военнослужащих (далее - участник накопительно-ипотечной системы);</w:t>
      </w:r>
    </w:p>
    <w:p>
      <w:pPr>
        <w:pStyle w:val="0"/>
        <w:spacing w:before="240" w:line-rule="auto"/>
        <w:ind w:firstLine="540"/>
        <w:jc w:val="both"/>
      </w:pPr>
      <w:r>
        <w:rPr>
          <w:sz w:val="24"/>
        </w:rPr>
        <w:t xml:space="preserve">взаимодействия уполномоченного федерального органа и федеральных органов исполнительной власти (федеральных государственных органов), в которых федеральным законом предусмотрена военная служба (далее - федеральные органы), при предоставлении участникам накопительно-ипотечной системы возможности использования накоплений для жилищного обеспечения, в том числе после закрытия именного накопительного счета участника накопительно-ипотечной системы (далее - именной накопительный счет).</w:t>
      </w:r>
    </w:p>
    <w:p>
      <w:pPr>
        <w:pStyle w:val="0"/>
        <w:jc w:val="both"/>
      </w:pPr>
      <w:r>
        <w:rPr>
          <w:sz w:val="24"/>
        </w:rPr>
        <w:t xml:space="preserve">(в ред. </w:t>
      </w:r>
      <w:hyperlink w:history="0" r:id="rId15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2. В настоящих Правилах используются следующие понятия:</w:t>
      </w:r>
    </w:p>
    <w:p>
      <w:pPr>
        <w:pStyle w:val="0"/>
        <w:spacing w:before="240" w:line-rule="auto"/>
        <w:ind w:firstLine="540"/>
        <w:jc w:val="both"/>
      </w:pPr>
      <w:r>
        <w:rPr>
          <w:sz w:val="24"/>
        </w:rPr>
        <w:t xml:space="preserve">а) "специальный депонентный счет" - форма аналитического учета, включающая в себя совокупность сведений о накоплениях для жилищного обеспечения, предназначенных для использования участником накопительно-ипотечной системы или лицом, получившим такое право в соответствии со </w:t>
      </w:r>
      <w:hyperlink w:history="0" r:id="rId15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статьей 12</w:t>
        </w:r>
      </w:hyperlink>
      <w:r>
        <w:rPr>
          <w:sz w:val="24"/>
        </w:rPr>
        <w:t xml:space="preserve"> Федерального закона, о получателе таких накоплений и именном накопительном счете, где ранее учитывались накопления для жилищного обеспечения;</w:t>
      </w:r>
    </w:p>
    <w:p>
      <w:pPr>
        <w:pStyle w:val="0"/>
        <w:jc w:val="both"/>
      </w:pPr>
      <w:r>
        <w:rPr>
          <w:sz w:val="24"/>
        </w:rPr>
        <w:t xml:space="preserve">(в ред. </w:t>
      </w:r>
      <w:hyperlink w:history="0" r:id="rId155"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27.05.2020 N 758)</w:t>
      </w:r>
    </w:p>
    <w:p>
      <w:pPr>
        <w:pStyle w:val="0"/>
        <w:spacing w:before="240" w:line-rule="auto"/>
        <w:ind w:firstLine="540"/>
        <w:jc w:val="both"/>
      </w:pPr>
      <w:r>
        <w:rPr>
          <w:sz w:val="24"/>
        </w:rPr>
        <w:t xml:space="preserve">б) "получатель накоплений" - участник накопительно-ипотечной системы или лицо, получившее право на использование накоплений для жилищного обеспечения в соответствии со </w:t>
      </w:r>
      <w:hyperlink w:history="0" r:id="rId15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статьей 12</w:t>
        </w:r>
      </w:hyperlink>
      <w:r>
        <w:rPr>
          <w:sz w:val="24"/>
        </w:rPr>
        <w:t xml:space="preserve"> Федерального закона, либо иное лицо, на которое в соответствии с настоящими Правилами возложены обязанности по перечислению накоплений для жилищного обеспечения участнику накопительно-ипотечной системы или членам его семьи, а в случае отсутствия у участника накопительно-ипотечной системы членов семьи - его родителям (усыновителям) и детям, не отнесенным к членам семьи, указанным в </w:t>
      </w:r>
      <w:hyperlink w:history="0" r:id="rId15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1 статьи 12</w:t>
        </w:r>
      </w:hyperlink>
      <w:r>
        <w:rPr>
          <w:sz w:val="24"/>
        </w:rPr>
        <w:t xml:space="preserve"> Федерального закона, (далее - члены семьи);</w:t>
      </w:r>
    </w:p>
    <w:p>
      <w:pPr>
        <w:pStyle w:val="0"/>
        <w:jc w:val="both"/>
      </w:pPr>
      <w:r>
        <w:rPr>
          <w:sz w:val="24"/>
        </w:rPr>
        <w:t xml:space="preserve">(в ред. Постановлений Правительства РФ от 27.05.2020 </w:t>
      </w:r>
      <w:hyperlink w:history="0" r:id="rId158"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rPr>
        <w:t xml:space="preserve">, от 17.05.2023 </w:t>
      </w:r>
      <w:hyperlink w:history="0" r:id="rId15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в) понятия, определенные Федеральным </w:t>
      </w:r>
      <w:hyperlink w:history="0" r:id="rId16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3. В случае если в отношении персональных данных участника накопительно-ипотечной системы действует </w:t>
      </w:r>
      <w:hyperlink w:history="0" r:id="rId161" w:tooltip="Закон РФ от 21.07.1993 N 5485-1 (ред. от 08.08.2024) &quot;О государственной тайне&quot; {КонсультантПлюс}">
        <w:r>
          <w:rPr>
            <w:sz w:val="24"/>
            <w:color w:val="0000ff"/>
          </w:rPr>
          <w:t xml:space="preserve">законодательство</w:t>
        </w:r>
      </w:hyperlink>
      <w:r>
        <w:rPr>
          <w:sz w:val="24"/>
        </w:rPr>
        <w:t xml:space="preserve"> Российской Федерации о защите сведений, составляющих государственную тайну, исполнение обязательств уполномоченного федерального органа по выплате таким участникам или членам их семей накоплений для жилищного обеспечения возлагается на федеральные органы или на иных лиц, определенных этими органами.</w:t>
      </w:r>
    </w:p>
    <w:p>
      <w:pPr>
        <w:pStyle w:val="0"/>
        <w:jc w:val="both"/>
      </w:pPr>
      <w:r>
        <w:rPr>
          <w:sz w:val="24"/>
        </w:rPr>
        <w:t xml:space="preserve">(в ред. </w:t>
      </w:r>
      <w:hyperlink w:history="0" r:id="rId162"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Порядок и сроки доведения до участников накопительно-ипотечной системы, в отношении персональных данных которых действует </w:t>
      </w:r>
      <w:hyperlink w:history="0" r:id="rId163" w:tooltip="Закон РФ от 21.07.1993 N 5485-1 (ред. от 08.08.2024) &quot;О государственной тайне&quot; {КонсультантПлюс}">
        <w:r>
          <w:rPr>
            <w:sz w:val="24"/>
            <w:color w:val="0000ff"/>
          </w:rPr>
          <w:t xml:space="preserve">законодательство</w:t>
        </w:r>
      </w:hyperlink>
      <w:r>
        <w:rPr>
          <w:sz w:val="24"/>
        </w:rPr>
        <w:t xml:space="preserve"> Российской Федерации о защите сведений, составляющих государственную тайну, накоплений для жилищного обеспечения, полученных федеральным органом от уполномоченного федерального органа, устанавливаются нормативными правовыми актами этого федерального органа.</w:t>
      </w:r>
    </w:p>
    <w:p>
      <w:pPr>
        <w:pStyle w:val="0"/>
        <w:jc w:val="both"/>
      </w:pPr>
      <w:r>
        <w:rPr>
          <w:sz w:val="24"/>
        </w:rPr>
        <w:t xml:space="preserve">(в ред. </w:t>
      </w:r>
      <w:hyperlink w:history="0" r:id="rId16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4. Участник накопительно-ипотечной системы после достижения 20 лет общей продолжительности военной службы, в том числе в льготном исчислении, может использовать накопления для жилищного обеспечения, учтенные на его именном накопительном счете, для приобретения жилого помещения (жилых помещений), улучшения жилищных условий или на иные цели. При этом военнослужащий имеет право воспользоваться накопительными взносами будущих периодов для получения или погашения ипотечного кредита на общих основаниях.</w:t>
      </w:r>
    </w:p>
    <w:p>
      <w:pPr>
        <w:pStyle w:val="0"/>
        <w:jc w:val="both"/>
      </w:pPr>
      <w:r>
        <w:rPr>
          <w:sz w:val="24"/>
        </w:rPr>
        <w:t xml:space="preserve">(в ред. </w:t>
      </w:r>
      <w:hyperlink w:history="0" r:id="rId165"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rPr>
        <w:t xml:space="preserve"> Правительства РФ от 31.01.2009 N 78)</w:t>
      </w:r>
    </w:p>
    <w:bookmarkStart w:id="258" w:name="P258"/>
    <w:bookmarkEnd w:id="258"/>
    <w:p>
      <w:pPr>
        <w:pStyle w:val="0"/>
        <w:spacing w:before="240" w:line-rule="auto"/>
        <w:ind w:firstLine="540"/>
        <w:jc w:val="both"/>
      </w:pPr>
      <w:r>
        <w:rPr>
          <w:sz w:val="24"/>
        </w:rPr>
        <w:t xml:space="preserve">5. Накопления для жилищного обеспечения предоставляются участнику накопительно-ипотечной системы в форме безналичного расчета одним из следующих способов:</w:t>
      </w:r>
    </w:p>
    <w:bookmarkStart w:id="259" w:name="P259"/>
    <w:bookmarkEnd w:id="259"/>
    <w:p>
      <w:pPr>
        <w:pStyle w:val="0"/>
        <w:spacing w:before="240" w:line-rule="auto"/>
        <w:ind w:firstLine="540"/>
        <w:jc w:val="both"/>
      </w:pPr>
      <w:r>
        <w:rPr>
          <w:sz w:val="24"/>
        </w:rPr>
        <w:t xml:space="preserve">а) путем перечисления средств на его банковский счет, открытый в кредитной организации, созданной в соответствии с </w:t>
      </w:r>
      <w:hyperlink w:history="0" r:id="rId166" w:tooltip="Федеральный закон от 02.12.1990 N 395-1 (ред. от 31.07.2025) &quot;О банках и банковской деятельности&quot; (с изм. и доп., вступ. в силу с 01.10.2025) {КонсультантПлюс}">
        <w:r>
          <w:rPr>
            <w:sz w:val="24"/>
            <w:color w:val="0000ff"/>
          </w:rPr>
          <w:t xml:space="preserve">законодательством</w:t>
        </w:r>
      </w:hyperlink>
      <w:r>
        <w:rPr>
          <w:sz w:val="24"/>
        </w:rPr>
        <w:t xml:space="preserve"> Российской Федерации;</w:t>
      </w:r>
    </w:p>
    <w:p>
      <w:pPr>
        <w:pStyle w:val="0"/>
        <w:spacing w:before="240" w:line-rule="auto"/>
        <w:ind w:firstLine="540"/>
        <w:jc w:val="both"/>
      </w:pPr>
      <w:r>
        <w:rPr>
          <w:sz w:val="24"/>
        </w:rPr>
        <w:t xml:space="preserve">б) путем перечисления средств федеральному органу с последующим доведением этой суммы до участника накопительно-ипотечной системы;</w:t>
      </w:r>
    </w:p>
    <w:p>
      <w:pPr>
        <w:pStyle w:val="0"/>
        <w:jc w:val="both"/>
      </w:pPr>
      <w:r>
        <w:rPr>
          <w:sz w:val="24"/>
        </w:rPr>
        <w:t xml:space="preserve">(в ред. </w:t>
      </w:r>
      <w:hyperlink w:history="0" r:id="rId167"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в) путем перечисления средств на банковский счет иного получателя накоплений, определенного нормативным правовым актом федерального органа.</w:t>
      </w:r>
    </w:p>
    <w:p>
      <w:pPr>
        <w:pStyle w:val="0"/>
        <w:jc w:val="both"/>
      </w:pPr>
      <w:r>
        <w:rPr>
          <w:sz w:val="24"/>
        </w:rPr>
        <w:t xml:space="preserve">(в ред. </w:t>
      </w:r>
      <w:hyperlink w:history="0" r:id="rId168"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bookmarkStart w:id="264" w:name="P264"/>
    <w:bookmarkEnd w:id="264"/>
    <w:p>
      <w:pPr>
        <w:pStyle w:val="0"/>
        <w:spacing w:before="240" w:line-rule="auto"/>
        <w:ind w:firstLine="540"/>
        <w:jc w:val="both"/>
      </w:pPr>
      <w:r>
        <w:rPr>
          <w:sz w:val="24"/>
        </w:rPr>
        <w:t xml:space="preserve">6. Участник накопительно-ипотечной системы после достижения 20 лет общей продолжительности военной службы, в том числе в льготном исчислении, в случае принятия им решения об использовании накоплений для жилищного обеспечения вправе, но не более одного раза в течение 12 месяцев, подать рапорт, в котором указываются дата и основание возникновения права на использование накоплений для жилищного обеспечения, сумма накоплений для жилищного обеспечения (все накопления для жилищного обеспечения, учтенные на именном накопительном счете, или часть этих средств), полные реквизиты своего банковского счета или согласие на использование накоплений для жилищного обеспечения через одного из получателей накоплений, определенных нормативным правовым актом федерального органа.</w:t>
      </w:r>
    </w:p>
    <w:p>
      <w:pPr>
        <w:pStyle w:val="0"/>
        <w:jc w:val="both"/>
      </w:pPr>
      <w:r>
        <w:rPr>
          <w:sz w:val="24"/>
        </w:rPr>
        <w:t xml:space="preserve">(в ред. Постановлений Правительства РФ от 31.01.2009 </w:t>
      </w:r>
      <w:hyperlink w:history="0" r:id="rId169"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rPr>
        <w:t xml:space="preserve">, от 29.12.2016 </w:t>
      </w:r>
      <w:hyperlink w:history="0" r:id="rId170"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 от 17.05.2023 </w:t>
      </w:r>
      <w:hyperlink w:history="0" r:id="rId171"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7. Федеральные органы ежемесячно, до 20-го числа, представляют в уполномоченный федеральный орган сведения об участниках накопительно-ипотечной системы, достигших 20 лет общей продолжительности военной службы, в том числе в льготном исчислении, и изъявивших желание воспользоваться накоплениями для жилищного обеспечения, по </w:t>
      </w:r>
      <w:r>
        <w:rPr>
          <w:sz w:val="24"/>
        </w:rPr>
        <w:t xml:space="preserve">форме</w:t>
      </w:r>
      <w:r>
        <w:rPr>
          <w:sz w:val="24"/>
        </w:rPr>
        <w:t xml:space="preserve">, утверждаемой уполномоченным федеральным органом (далее - сведения об участниках).</w:t>
      </w:r>
    </w:p>
    <w:p>
      <w:pPr>
        <w:pStyle w:val="0"/>
        <w:jc w:val="both"/>
      </w:pPr>
      <w:r>
        <w:rPr>
          <w:sz w:val="24"/>
        </w:rPr>
        <w:t xml:space="preserve">(в ред. Постановлений Правительства РФ от 15.05.2008 </w:t>
      </w:r>
      <w:hyperlink w:history="0" r:id="rId172"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370</w:t>
        </w:r>
      </w:hyperlink>
      <w:r>
        <w:rPr>
          <w:sz w:val="24"/>
        </w:rPr>
        <w:t xml:space="preserve">, от 31.01.2009 </w:t>
      </w:r>
      <w:hyperlink w:history="0" r:id="rId173"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rPr>
        <w:t xml:space="preserve">, от 29.12.2016 </w:t>
      </w:r>
      <w:hyperlink w:history="0" r:id="rId17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8. В течение 30 дней со дня получения сведений об участниках уполномоченный федеральный орган проверяет информацию на соответствие данным, содержащимся на именном накопительном счете, в том числе на соответствие запрашиваемой суммы сумме накоплений для жилищного обеспечения, учтенных на указанном счете, а также полноту и правильность платежных реквизитов и при их соответствии перечисляет запрашиваемую сумму по указанным реквизитам.</w:t>
      </w:r>
    </w:p>
    <w:p>
      <w:pPr>
        <w:pStyle w:val="0"/>
        <w:jc w:val="both"/>
      </w:pPr>
      <w:r>
        <w:rPr>
          <w:sz w:val="24"/>
        </w:rPr>
        <w:t xml:space="preserve">(в ред. </w:t>
      </w:r>
      <w:hyperlink w:history="0" r:id="rId175"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rPr>
        <w:t xml:space="preserve"> Правительства РФ от 31.01.2009 N 78)</w:t>
      </w:r>
    </w:p>
    <w:p>
      <w:pPr>
        <w:pStyle w:val="0"/>
        <w:spacing w:before="240" w:line-rule="auto"/>
        <w:ind w:firstLine="540"/>
        <w:jc w:val="both"/>
      </w:pPr>
      <w:r>
        <w:rPr>
          <w:sz w:val="24"/>
        </w:rPr>
        <w:t xml:space="preserve">9. Уполномоченный федеральный орган не осуществляет перечисление средств в следующих случаях:</w:t>
      </w:r>
    </w:p>
    <w:p>
      <w:pPr>
        <w:pStyle w:val="0"/>
        <w:spacing w:before="240" w:line-rule="auto"/>
        <w:ind w:firstLine="540"/>
        <w:jc w:val="both"/>
      </w:pPr>
      <w:r>
        <w:rPr>
          <w:sz w:val="24"/>
        </w:rPr>
        <w:t xml:space="preserve">а) выявление несоответствия сведений об участниках данным, содержащимся на именном накопительном счете;</w:t>
      </w:r>
    </w:p>
    <w:p>
      <w:pPr>
        <w:pStyle w:val="0"/>
        <w:spacing w:before="240" w:line-rule="auto"/>
        <w:ind w:firstLine="540"/>
        <w:jc w:val="both"/>
      </w:pPr>
      <w:r>
        <w:rPr>
          <w:sz w:val="24"/>
        </w:rPr>
        <w:t xml:space="preserve">б) превышение размера запрашиваемой суммы над размером накоплений для жилищного обеспечения, учтенных на именном накопительном счете;</w:t>
      </w:r>
    </w:p>
    <w:p>
      <w:pPr>
        <w:pStyle w:val="0"/>
        <w:spacing w:before="240" w:line-rule="auto"/>
        <w:ind w:firstLine="540"/>
        <w:jc w:val="both"/>
      </w:pPr>
      <w:r>
        <w:rPr>
          <w:sz w:val="24"/>
        </w:rPr>
        <w:t xml:space="preserve">в) отказ территориального органа Федерального казначейства в перечислении денежных средств в связи с выявленными им ошибками в платежных реквизитах.</w:t>
      </w:r>
    </w:p>
    <w:p>
      <w:pPr>
        <w:pStyle w:val="0"/>
        <w:spacing w:before="240" w:line-rule="auto"/>
        <w:ind w:firstLine="540"/>
        <w:jc w:val="both"/>
      </w:pPr>
      <w:r>
        <w:rPr>
          <w:sz w:val="24"/>
        </w:rPr>
        <w:t xml:space="preserve">Уполномоченный федеральный орган в срок, установленный для перечисления накоплений для жилищного обеспечения получателям таких накоплений, уведомляет федеральный орган об отказе в перечислении средств с указанием причины отказа.</w:t>
      </w:r>
    </w:p>
    <w:p>
      <w:pPr>
        <w:pStyle w:val="0"/>
        <w:jc w:val="both"/>
      </w:pPr>
      <w:r>
        <w:rPr>
          <w:sz w:val="24"/>
        </w:rPr>
        <w:t xml:space="preserve">(в ред. </w:t>
      </w:r>
      <w:hyperlink w:history="0" r:id="rId176"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10. Для обеспечения своевременного перечисления накоплений для жилищного обеспечения получателям таких накоплений уполномоченный федеральный орган при получении сведений об участниках проверяет достаточность денежных средств, имеющихся в его распоряжении в соответствии с утвержденным годовым финансовым планом, и при необходимости направляет в управляющие компании требование о перечислении (возврате) накоплений для жилищного обеспечения в порядке и на условиях, установленных правилами функционирования накопительно-ипотечной системы.</w:t>
      </w:r>
    </w:p>
    <w:p>
      <w:pPr>
        <w:pStyle w:val="0"/>
        <w:spacing w:before="240" w:line-rule="auto"/>
        <w:ind w:firstLine="540"/>
        <w:jc w:val="both"/>
      </w:pPr>
      <w:r>
        <w:rPr>
          <w:sz w:val="24"/>
        </w:rPr>
        <w:t xml:space="preserve">11. Уполномоченный федеральный орган уведомляет федеральные органы о перечислении денежных средств участникам:</w:t>
      </w:r>
    </w:p>
    <w:p>
      <w:pPr>
        <w:pStyle w:val="0"/>
        <w:jc w:val="both"/>
      </w:pPr>
      <w:r>
        <w:rPr>
          <w:sz w:val="24"/>
        </w:rPr>
        <w:t xml:space="preserve">(в ред. </w:t>
      </w:r>
      <w:hyperlink w:history="0" r:id="rId177"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а) ежеквартально, до 20-го числа месяца, следующего за отчетным кварталом;</w:t>
      </w:r>
    </w:p>
    <w:p>
      <w:pPr>
        <w:pStyle w:val="0"/>
        <w:spacing w:before="240" w:line-rule="auto"/>
        <w:ind w:firstLine="540"/>
        <w:jc w:val="both"/>
      </w:pPr>
      <w:r>
        <w:rPr>
          <w:sz w:val="24"/>
        </w:rPr>
        <w:t xml:space="preserve">б) по отдельным запросам федеральных органов в отношении конкретных участников - в течение 10 рабочих дней со дня получения запроса.</w:t>
      </w:r>
    </w:p>
    <w:p>
      <w:pPr>
        <w:pStyle w:val="0"/>
        <w:jc w:val="both"/>
      </w:pPr>
      <w:r>
        <w:rPr>
          <w:sz w:val="24"/>
        </w:rPr>
        <w:t xml:space="preserve">(в ред. </w:t>
      </w:r>
      <w:hyperlink w:history="0" r:id="rId178"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jc w:val="both"/>
      </w:pPr>
      <w:r>
        <w:rPr>
          <w:sz w:val="24"/>
        </w:rPr>
        <w:t xml:space="preserve">(п. 11 в ред. </w:t>
      </w:r>
      <w:hyperlink w:history="0" r:id="rId179"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17.09.2013 N 811)</w:t>
      </w:r>
    </w:p>
    <w:bookmarkStart w:id="283" w:name="P283"/>
    <w:bookmarkEnd w:id="283"/>
    <w:p>
      <w:pPr>
        <w:pStyle w:val="0"/>
        <w:spacing w:before="240" w:line-rule="auto"/>
        <w:ind w:firstLine="540"/>
        <w:jc w:val="both"/>
      </w:pPr>
      <w:r>
        <w:rPr>
          <w:sz w:val="24"/>
        </w:rPr>
        <w:t xml:space="preserve">12. В случае возврата кредитной организацией в уполномоченный федеральный орган ранее перечисленных денежных средств в связи с выявленными ошибками в платежных реквизитах уполномоченный федеральный орган в течение 3 рабочих дней уведомляет федеральный орган об этих обстоятельствах.</w:t>
      </w:r>
    </w:p>
    <w:p>
      <w:pPr>
        <w:pStyle w:val="0"/>
        <w:jc w:val="both"/>
      </w:pPr>
      <w:r>
        <w:rPr>
          <w:sz w:val="24"/>
        </w:rPr>
        <w:t xml:space="preserve">(в ред. Постановлений Правительства РФ от 17.09.2013 </w:t>
      </w:r>
      <w:hyperlink w:history="0" r:id="rId180"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rPr>
        <w:t xml:space="preserve">, от 29.12.2016 </w:t>
      </w:r>
      <w:hyperlink w:history="0" r:id="rId18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13. Федеральный орган, получивший уведомление уполномоченного федерального органа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w:t>
      </w:r>
      <w:hyperlink w:history="0" w:anchor="P283" w:tooltip="12. В случае возврата кредитной организацией в уполномоченный федеральный орган ранее перечисленных денежных средств в связи с выявленными ошибками в платежных реквизитах уполномоченный федеральный орган в течение 3 рабочих дней уведомляет федеральный орган об этих обстоятельствах.">
        <w:r>
          <w:rPr>
            <w:sz w:val="24"/>
            <w:color w:val="0000ff"/>
          </w:rPr>
          <w:t xml:space="preserve">пункте 12</w:t>
        </w:r>
      </w:hyperlink>
      <w:r>
        <w:rPr>
          <w:sz w:val="24"/>
        </w:rPr>
        <w:t xml:space="preserve"> настоящих Правил, в </w:t>
      </w:r>
      <w:hyperlink w:history="0" r:id="rId182" w:tooltip="Приказ ГУСП от 23.08.2024 N 186 &quot;О накопительно-ипотечной системе жилищного обеспечения военнослужащих Главного управления специальных программ Президента Российской Федерации&quot; (вместе с &quot;Порядком и сроками доведения информации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12 Правил использования накоплений для жилищного обеспечения военнослужащих, утвержденных постановлением Правительств {КонсультантПлюс}">
        <w:r>
          <w:rPr>
            <w:sz w:val="24"/>
            <w:color w:val="0000ff"/>
          </w:rPr>
          <w:t xml:space="preserve">порядке</w:t>
        </w:r>
      </w:hyperlink>
      <w:r>
        <w:rPr>
          <w:sz w:val="24"/>
        </w:rPr>
        <w:t xml:space="preserve"> и сроки, установленные федеральным органом, доводит указанную информацию до участника накопительно-ипотечной системы.</w:t>
      </w:r>
    </w:p>
    <w:p>
      <w:pPr>
        <w:pStyle w:val="0"/>
        <w:jc w:val="both"/>
      </w:pPr>
      <w:r>
        <w:rPr>
          <w:sz w:val="24"/>
        </w:rPr>
        <w:t xml:space="preserve">(в ред. </w:t>
      </w:r>
      <w:hyperlink w:history="0" r:id="rId18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В случае если денежные средства перечислялись на счет иного получателя накоплений, определенного федеральным органом, указанный орган обязан представить уполномоченному федеральному органу отчет о доведении денежных средств до участника накопительно-ипотечной системы или членов его семьи в течение 30 дней с даты исполнения указанной обязанности.</w:t>
      </w:r>
    </w:p>
    <w:p>
      <w:pPr>
        <w:pStyle w:val="0"/>
        <w:jc w:val="both"/>
      </w:pPr>
      <w:r>
        <w:rPr>
          <w:sz w:val="24"/>
        </w:rPr>
        <w:t xml:space="preserve">(в ред. </w:t>
      </w:r>
      <w:hyperlink w:history="0" r:id="rId18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14. Накопления для жилищного обеспечения, перечисленные получателю накоплений, возврату в уполномоченный федеральный орган не подлежат.</w:t>
      </w:r>
    </w:p>
    <w:p>
      <w:pPr>
        <w:pStyle w:val="0"/>
        <w:spacing w:before="240" w:line-rule="auto"/>
        <w:ind w:firstLine="540"/>
        <w:jc w:val="both"/>
      </w:pPr>
      <w:r>
        <w:rPr>
          <w:sz w:val="24"/>
        </w:rPr>
        <w:t xml:space="preserve">15. Именной накопительный счет закрывается не позднее 15-го числа месяца, следующего за месяцем, в котором от федерального органа поступило уведомление об исключении военнослужащего из реестра участников накопительно-ипотечной системы (далее - реестр участников). При наличии у участника накопительно-ипотечной системы или у членов его семьи права на использование накоплений для жилищного обеспечения перед закрытием именного накопительного счета производится расчет излишне начисленных накоплений для жилищного обеспечения. Излишне начисленные и учтенные на именном накопительном счете накопления для жилищного обеспечения подлежат разнесению в установленном порядке по именным накопительным счетам оставшихся участников одновременно с очередными накопительными взносами, поступившими из федерального бюджета. Задолженность перед федеральным бюджетом на сумму указанных излишне начисленных и учтенных на именном накопительном счете накоплений для жилищного обеспечения погашается в порядке, установленном </w:t>
      </w:r>
      <w:hyperlink w:history="0" w:anchor="P294" w:tooltip="17. Суммы накоплений для жилищного обеспечения, излишне перечисленные уполномоченному федеральному органу из федерального бюджета, учитываются как задолженность уполномоченного федерального органа перед федеральным бюджетом.">
        <w:r>
          <w:rPr>
            <w:sz w:val="24"/>
            <w:color w:val="0000ff"/>
          </w:rPr>
          <w:t xml:space="preserve">пунктом 17</w:t>
        </w:r>
      </w:hyperlink>
      <w:r>
        <w:rPr>
          <w:sz w:val="24"/>
        </w:rPr>
        <w:t xml:space="preserve"> настоящих Правил.</w:t>
      </w:r>
    </w:p>
    <w:p>
      <w:pPr>
        <w:pStyle w:val="0"/>
        <w:jc w:val="both"/>
      </w:pPr>
      <w:r>
        <w:rPr>
          <w:sz w:val="24"/>
        </w:rPr>
        <w:t xml:space="preserve">(в ред. Постановлений Правительства РФ от 31.01.2009 </w:t>
      </w:r>
      <w:hyperlink w:history="0" r:id="rId185" w:tooltip="Постановление Правительства РФ от 31.01.2009 N 78 &quot;О внесении изменений в Постановление Правительства Российской Федерации от 7 ноября 2005 г. N 655&quot; {КонсультантПлюс}">
        <w:r>
          <w:rPr>
            <w:sz w:val="24"/>
            <w:color w:val="0000ff"/>
          </w:rPr>
          <w:t xml:space="preserve">N 78</w:t>
        </w:r>
      </w:hyperlink>
      <w:r>
        <w:rPr>
          <w:sz w:val="24"/>
        </w:rPr>
        <w:t xml:space="preserve">, от 29.12.2016 </w:t>
      </w:r>
      <w:hyperlink w:history="0" r:id="rId186"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 от 27.05.2020 </w:t>
      </w:r>
      <w:hyperlink w:history="0" r:id="rId187"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rPr>
        <w:t xml:space="preserve">, от 01.11.2022 </w:t>
      </w:r>
      <w:hyperlink w:history="0" r:id="rId18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16. В случае если при досрочном увольнении участника накопительно-ипотечной системы с военной службы отсутствуют основания, предусмотренные </w:t>
      </w:r>
      <w:hyperlink w:history="0" r:id="rId18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пунктами 1</w:t>
        </w:r>
      </w:hyperlink>
      <w:r>
        <w:rPr>
          <w:sz w:val="24"/>
        </w:rPr>
        <w:t xml:space="preserve">, </w:t>
      </w:r>
      <w:hyperlink w:history="0" r:id="rId19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2</w:t>
        </w:r>
      </w:hyperlink>
      <w:r>
        <w:rPr>
          <w:sz w:val="24"/>
        </w:rPr>
        <w:t xml:space="preserve"> и </w:t>
      </w:r>
      <w:hyperlink w:history="0" r:id="rId19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4 части 1 статьи 10</w:t>
        </w:r>
      </w:hyperlink>
      <w:r>
        <w:rPr>
          <w:sz w:val="24"/>
        </w:rPr>
        <w:t xml:space="preserve"> Федерального закона, его именной накопительный счет закрывается, начисленные и учтенные на его именном накопительном счете накопления для жилищного обеспечения, а также средства, поступающие от участника накопительно-ипотечной системы в погашение задолженности по договору целевого жилищного займа, подлежат разнесению в установленном порядке по именным накопительным счетам оставшихся участников одновременно с очередными накопительными взносами, поступившими из федерального бюджета. Задолженность перед федеральным бюджетом на сумму указанных начисленных и учтенных на именном накопительном счете накоплений для жилищного обеспечения за счет средств федерального бюджета и средств, поступивших от участника накопительно-ипотечной системы в погашение задолженности по договору целевого жилищного займа, погашается в порядке, установленном </w:t>
      </w:r>
      <w:hyperlink w:history="0" w:anchor="P294" w:tooltip="17. Суммы накоплений для жилищного обеспечения, излишне перечисленные уполномоченному федеральному органу из федерального бюджета, учитываются как задолженность уполномоченного федерального органа перед федеральным бюджетом.">
        <w:r>
          <w:rPr>
            <w:sz w:val="24"/>
            <w:color w:val="0000ff"/>
          </w:rPr>
          <w:t xml:space="preserve">пунктом 17</w:t>
        </w:r>
      </w:hyperlink>
      <w:r>
        <w:rPr>
          <w:sz w:val="24"/>
        </w:rPr>
        <w:t xml:space="preserve"> настоящих Правил.</w:t>
      </w:r>
    </w:p>
    <w:p>
      <w:pPr>
        <w:pStyle w:val="0"/>
        <w:jc w:val="both"/>
      </w:pPr>
      <w:r>
        <w:rPr>
          <w:sz w:val="24"/>
        </w:rPr>
        <w:t xml:space="preserve">(п. 16 в ред. </w:t>
      </w:r>
      <w:hyperlink w:history="0" r:id="rId192"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bookmarkStart w:id="294" w:name="P294"/>
    <w:bookmarkEnd w:id="294"/>
    <w:p>
      <w:pPr>
        <w:pStyle w:val="0"/>
        <w:spacing w:before="240" w:line-rule="auto"/>
        <w:ind w:firstLine="540"/>
        <w:jc w:val="both"/>
      </w:pPr>
      <w:r>
        <w:rPr>
          <w:sz w:val="24"/>
        </w:rPr>
        <w:t xml:space="preserve">17. Суммы накоплений для жилищного обеспечения, излишне перечисленные уполномоченному федеральному органу из федерального бюджета, учитываются как задолженность уполномоченного федерального органа перед федеральным бюджетом.</w:t>
      </w:r>
    </w:p>
    <w:p>
      <w:pPr>
        <w:pStyle w:val="0"/>
        <w:spacing w:before="240" w:line-rule="auto"/>
        <w:ind w:firstLine="540"/>
        <w:jc w:val="both"/>
      </w:pPr>
      <w:r>
        <w:rPr>
          <w:sz w:val="24"/>
        </w:rPr>
        <w:t xml:space="preserve">Задолженность уполномоченного федерального органа перед федеральным бюджетом на сумму излишне перечисленных ему накоплений для жилищного обеспечения из федерального бюджета погашается путем уменьшения суммы очередных накопительных взносов, подлежащих перечислению из федерального бюджета.</w:t>
      </w:r>
    </w:p>
    <w:bookmarkStart w:id="296" w:name="P296"/>
    <w:bookmarkEnd w:id="296"/>
    <w:p>
      <w:pPr>
        <w:pStyle w:val="0"/>
        <w:spacing w:before="240" w:line-rule="auto"/>
        <w:ind w:firstLine="540"/>
        <w:jc w:val="both"/>
      </w:pPr>
      <w:r>
        <w:rPr>
          <w:sz w:val="24"/>
        </w:rPr>
        <w:t xml:space="preserve">18. В случаях, предусмотренных </w:t>
      </w:r>
      <w:hyperlink w:history="0" r:id="rId19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3 статьи 12</w:t>
        </w:r>
      </w:hyperlink>
      <w:r>
        <w:rPr>
          <w:sz w:val="24"/>
        </w:rPr>
        <w:t xml:space="preserve"> Федерального закона и </w:t>
      </w:r>
      <w:hyperlink w:history="0" r:id="rId194" w:tooltip="Федеральный закон от 27.12.2019 N 506-ФЗ &quot;О внесении изменений в статьи 4 и 12 Федерального закона &quot;О накопительно-ипотечной системе жилищного обеспечения военнослужащих&quot; {КонсультантПлюс}">
        <w:r>
          <w:rPr>
            <w:sz w:val="24"/>
            <w:color w:val="0000ff"/>
          </w:rPr>
          <w:t xml:space="preserve">статьей 2</w:t>
        </w:r>
      </w:hyperlink>
      <w:r>
        <w:rPr>
          <w:sz w:val="24"/>
        </w:rPr>
        <w:t xml:space="preserve"> Федерального закона "О внесении изменений в статьи 4 и 12 Федерального закона "О накопительно-ипотечной системе жилищного обеспечения военнослужащих", уполномоченный федеральный орган в течение 3 рабочих дней со дня единовременного начисления на именной накопительный счет участника накопительно-ипотечной системы денежных средств в размере задолженности такого участника по ипотечному кредиту (займу) с учетом начисленной в соответствии с договором ипотечного кредита (займа) суммы процентов и остатка накоплений для жилищного обеспечения на именном накопительном счете участника (далее - единовременное начисление для досрочного погашения ипотечного кредита (займа) перечисляет кредитной организации, в которой учтена задолженность участника по ипотечному кредиту (займу) (далее - кредитор), средства в размере указанной задолженности с учетом суммы процентов для досрочного исполнения обязательств по погашению ипотечного кредита (займа), полученного участником накопительно-ипотечной системы.</w:t>
      </w:r>
    </w:p>
    <w:p>
      <w:pPr>
        <w:pStyle w:val="0"/>
        <w:jc w:val="both"/>
      </w:pPr>
      <w:r>
        <w:rPr>
          <w:sz w:val="24"/>
        </w:rPr>
        <w:t xml:space="preserve">(в ред. </w:t>
      </w:r>
      <w:hyperlink w:history="0" r:id="rId195"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Кредитор 20-го числа текущего месяца, в котором от уполномоченного федерального органа получены средства единовременного начисления для досрочного погашения ипотечного кредита (займа), осуществляет полное досрочное погашение ипотечного кредита (займа) участника накопительно-ипотечной системы. В случае если указанная дата выпадает на выходной (нерабочий) или праздничный день, то указанный срок переносится на первый рабочий день после выходного или праздничного дня.</w:t>
      </w:r>
    </w:p>
    <w:p>
      <w:pPr>
        <w:pStyle w:val="0"/>
        <w:jc w:val="both"/>
      </w:pPr>
      <w:r>
        <w:rPr>
          <w:sz w:val="24"/>
        </w:rPr>
        <w:t xml:space="preserve">(в ред. </w:t>
      </w:r>
      <w:hyperlink w:history="0" r:id="rId196"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Кредитор в течение 5 рабочих дней со дня погашения ипотечного кредита (займа) участника накопительно-ипотечной системы направляет уполномоченному федеральному органу информацию о полном погашении ипотечного кредита (займа) участника накопительно-ипотечной системы.</w:t>
      </w:r>
    </w:p>
    <w:p>
      <w:pPr>
        <w:pStyle w:val="0"/>
        <w:spacing w:before="240" w:line-rule="auto"/>
        <w:ind w:firstLine="540"/>
        <w:jc w:val="both"/>
      </w:pPr>
      <w:r>
        <w:rPr>
          <w:sz w:val="24"/>
        </w:rPr>
        <w:t xml:space="preserve">Уполномоченный федеральный орган в течение 5 рабочих дней со дня получения от кредитора информации о полном досрочном погашении ипотечного кредита (займа) направляет в федеральный орган, в котором участник накопительно-ипотечной системы проходил военную службу, сведения о сумме средств, направленных на досрочное погашение ипотечного кредита (займа) участника накопительно-ипотечной системы.</w:t>
      </w:r>
    </w:p>
    <w:p>
      <w:pPr>
        <w:pStyle w:val="0"/>
        <w:jc w:val="both"/>
      </w:pPr>
      <w:r>
        <w:rPr>
          <w:sz w:val="24"/>
        </w:rPr>
        <w:t xml:space="preserve">(абзац введен </w:t>
      </w:r>
      <w:hyperlink w:history="0" r:id="rId197"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spacing w:before="240" w:line-rule="auto"/>
        <w:ind w:firstLine="540"/>
        <w:jc w:val="both"/>
      </w:pPr>
      <w:r>
        <w:rPr>
          <w:sz w:val="24"/>
        </w:rPr>
        <w:t xml:space="preserve">Федеральный орган в течение 10 рабочих дней со дня получения от уполномоченного федерального органа сведений о сумме средств, направленных на досрочное погашение ипотечного кредита (займа) участника накопительно-ипотечной системы, информирует членов семьи такого участника (при их наличии) о погашении ипотечного кредита (займа) и сумме средств, направленных на досрочное погашение ипотечного кредита (займа).</w:t>
      </w:r>
    </w:p>
    <w:p>
      <w:pPr>
        <w:pStyle w:val="0"/>
        <w:jc w:val="both"/>
      </w:pPr>
      <w:r>
        <w:rPr>
          <w:sz w:val="24"/>
        </w:rPr>
        <w:t xml:space="preserve">(абзац введен </w:t>
      </w:r>
      <w:hyperlink w:history="0" r:id="rId198"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jc w:val="both"/>
      </w:pPr>
      <w:r>
        <w:rPr>
          <w:sz w:val="24"/>
        </w:rPr>
        <w:t xml:space="preserve">(п. 18 в ред. </w:t>
      </w:r>
      <w:hyperlink w:history="0" r:id="rId199"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27.05.2020 N 758)</w:t>
      </w:r>
    </w:p>
    <w:p>
      <w:pPr>
        <w:pStyle w:val="0"/>
        <w:spacing w:before="240" w:line-rule="auto"/>
        <w:ind w:firstLine="540"/>
        <w:jc w:val="both"/>
      </w:pPr>
      <w:r>
        <w:rPr>
          <w:sz w:val="24"/>
        </w:rPr>
        <w:t xml:space="preserve">18(1). В случаях, предусмотренных </w:t>
      </w:r>
      <w:hyperlink w:history="0" r:id="rId20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4</w:t>
        </w:r>
      </w:hyperlink>
      <w:r>
        <w:rPr>
          <w:sz w:val="24"/>
        </w:rPr>
        <w:t xml:space="preserve"> Федерального закона, уполномоченный федеральный орган производит дополнительную выплату участникам накопительно-ипотечной системы (бывшим участникам накопительно-ипотечной системы) или членам их семей.</w:t>
      </w:r>
    </w:p>
    <w:p>
      <w:pPr>
        <w:pStyle w:val="0"/>
        <w:spacing w:before="240" w:line-rule="auto"/>
        <w:ind w:firstLine="540"/>
        <w:jc w:val="both"/>
      </w:pPr>
      <w:r>
        <w:rPr>
          <w:sz w:val="24"/>
        </w:rPr>
        <w:t xml:space="preserve">Расчет размера дополнительной выплаты производится федеральным органом, в котором участник накопительно-ипотечной системы проходил военную службу.</w:t>
      </w:r>
    </w:p>
    <w:p>
      <w:pPr>
        <w:pStyle w:val="0"/>
        <w:spacing w:before="240" w:line-rule="auto"/>
        <w:ind w:firstLine="540"/>
        <w:jc w:val="both"/>
      </w:pPr>
      <w:r>
        <w:rPr>
          <w:sz w:val="24"/>
        </w:rPr>
        <w:t xml:space="preserve">Размер дополнительной выплаты определяется исходя из размера годового накопительного взноса на одного участника накопительно-ипотечной системы, устанавливаемого федеральным законом о федеральном бюджете на соответствующий год, и количества полных лет, месяцев и дней, которые участник накопительно-ипотечной системы не дослужил с даты возникновения основания для исключения его из реестра участников, которая соответствует дате исключения этого участника из списков личного состава воинской части, до даты, когда общая продолжительность его военной службы в календарном исчислении могла бы составить 20 лет (без учета дохода от инвестирования).</w:t>
      </w:r>
    </w:p>
    <w:p>
      <w:pPr>
        <w:pStyle w:val="0"/>
        <w:spacing w:before="240" w:line-rule="auto"/>
        <w:ind w:firstLine="540"/>
        <w:jc w:val="both"/>
      </w:pPr>
      <w:r>
        <w:rPr>
          <w:sz w:val="24"/>
        </w:rPr>
        <w:t xml:space="preserve">В случае если участник накопительно-ипотечной системы исключен из реестра участников по состоянию здоровья в связи с признанием его военно-врачебной комиссией не годным к военной службе, в связи с его гибелью или смертью, признанием его в установленном законом порядке безвестно отсутствующим или объявлением его умершим уполномоченный федеральный орган предоставляет дополнительную выплату за вычетом суммы единовременного начисления для досрочного погашения ипотечного кредита (займа).</w:t>
      </w:r>
    </w:p>
    <w:p>
      <w:pPr>
        <w:pStyle w:val="0"/>
        <w:jc w:val="both"/>
      </w:pPr>
      <w:r>
        <w:rPr>
          <w:sz w:val="24"/>
        </w:rPr>
        <w:t xml:space="preserve">(п. 18(1) введен </w:t>
      </w:r>
      <w:hyperlink w:history="0" r:id="rId201"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spacing w:before="240" w:line-rule="auto"/>
        <w:ind w:firstLine="540"/>
        <w:jc w:val="both"/>
      </w:pPr>
      <w:r>
        <w:rPr>
          <w:sz w:val="24"/>
        </w:rPr>
        <w:t xml:space="preserve">18(2). Уполномоченный федеральный орган в течение 30 рабочих дней со дня начисления накоплений для жилищного обеспечения гражданину, указанному в </w:t>
      </w:r>
      <w:hyperlink w:history="0" r:id="rId202" w:tooltip="Федеральный закон от 23.11.2024 N 409-ФЗ &quot;О внесении изменений в статью 15 Федерального закона &quot;О статусе военнослужащих&quot; и Федеральный закон &quot;О накопительно-ипотечной системе жилищного обеспечения военнослужащих&quot; {КонсультантПлюс}">
        <w:r>
          <w:rPr>
            <w:sz w:val="24"/>
            <w:color w:val="0000ff"/>
          </w:rPr>
          <w:t xml:space="preserve">части 5 статьи 3</w:t>
        </w:r>
      </w:hyperlink>
      <w:r>
        <w:rPr>
          <w:sz w:val="24"/>
        </w:rPr>
        <w:t xml:space="preserve"> Федерального закона "О внесении изменений в статью 15 Федерального закона "О статусе военнослужащих" и Федеральный закон "О накопительно-ипотечной системе жилищного обеспечения военнослужащих", перечисляет ему накопления для жилищного обеспечения в порядке, определенном </w:t>
      </w:r>
      <w:hyperlink w:history="0" w:anchor="P259" w:tooltip="а) путем перечисления средств на его банковский счет, открытый в кредитной организации, созданной в соответствии с законодательством Российской Федерации;">
        <w:r>
          <w:rPr>
            <w:sz w:val="24"/>
            <w:color w:val="0000ff"/>
          </w:rPr>
          <w:t xml:space="preserve">подпунктом "а" пункта 5</w:t>
        </w:r>
      </w:hyperlink>
      <w:r>
        <w:rPr>
          <w:sz w:val="24"/>
        </w:rPr>
        <w:t xml:space="preserve"> настоящих Правил.</w:t>
      </w:r>
    </w:p>
    <w:p>
      <w:pPr>
        <w:pStyle w:val="0"/>
        <w:jc w:val="both"/>
      </w:pPr>
      <w:r>
        <w:rPr>
          <w:sz w:val="24"/>
        </w:rPr>
        <w:t xml:space="preserve">(п. 18(2) введен </w:t>
      </w:r>
      <w:hyperlink w:history="0" r:id="rId203"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01.07.2025 N 995)</w:t>
      </w:r>
    </w:p>
    <w:p>
      <w:pPr>
        <w:pStyle w:val="0"/>
        <w:spacing w:before="240" w:line-rule="auto"/>
        <w:ind w:firstLine="540"/>
        <w:jc w:val="both"/>
      </w:pPr>
      <w:r>
        <w:rPr>
          <w:sz w:val="24"/>
        </w:rPr>
        <w:t xml:space="preserve">19. При наличии у участника накопительно-ипотечной системы права на использование накоплений для жилищного обеспечения производится расчет суммы накоплений, учтенных на именном накопительном счете на дату возникновения обстоятельств, послуживших основанием для исключения участника накопительно-ипотечной системы из реестра участников. Именной накопительный счет после этого закрывается. Накопления для жилищного обеспечения, предназначенные для использования бывшим участником накопительно-ипотечной системы или членом его семьи, учитываются на специальном депонентном счете, который открывается уполномоченным федеральным органом на дату возникновения оснований для исключения участника накопительно-ипотечной системы из реестра участников.</w:t>
      </w:r>
    </w:p>
    <w:p>
      <w:pPr>
        <w:pStyle w:val="0"/>
        <w:spacing w:before="240" w:line-rule="auto"/>
        <w:ind w:firstLine="540"/>
        <w:jc w:val="both"/>
      </w:pPr>
      <w:r>
        <w:rPr>
          <w:sz w:val="24"/>
        </w:rPr>
        <w:t xml:space="preserve">В случае если после закрытия именного накопительного счета у участника накопительно-ипотечной системы образовалась задолженность перед уполномоченным федеральным органом по возврату средств целевого жилищного займа, уполномоченный федеральный орган предоставляет дополнительную выплату за вычетом суммы указанной задолженности.</w:t>
      </w:r>
    </w:p>
    <w:p>
      <w:pPr>
        <w:pStyle w:val="0"/>
        <w:jc w:val="both"/>
      </w:pPr>
      <w:r>
        <w:rPr>
          <w:sz w:val="24"/>
        </w:rPr>
        <w:t xml:space="preserve">(абзац введен </w:t>
      </w:r>
      <w:hyperlink w:history="0" r:id="rId204"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p>
      <w:pPr>
        <w:pStyle w:val="0"/>
        <w:spacing w:before="240" w:line-rule="auto"/>
        <w:ind w:firstLine="540"/>
        <w:jc w:val="both"/>
      </w:pPr>
      <w:r>
        <w:rPr>
          <w:sz w:val="24"/>
        </w:rPr>
        <w:t xml:space="preserve">20. Лицо, получившее право на использование накоплений для жилищного обеспечения вследствие исключения участника накопительно-ипотечной системы из реестра участников, для получения денежных средств вправе подать рапорт (заявление) по последнему месту службы участника накопительно-ипотечной системы в соответствии с </w:t>
      </w:r>
      <w:hyperlink w:history="0" w:anchor="P264" w:tooltip="6. Участник накопительно-ипотечной системы после достижения 20 лет общей продолжительности военной службы, в том числе в льготном исчислении, в случае принятия им решения об использовании накоплений для жилищного обеспечения вправе, но не более одного раза в течение 12 месяцев, подать рапорт, в котором указываются дата и основание возникновения права на использование накоплений для жилищного обеспечения, сумма накоплений для жилищного обеспечения (все накопления для жилищного обеспечения, учтенные на име...">
        <w:r>
          <w:rPr>
            <w:sz w:val="24"/>
            <w:color w:val="0000ff"/>
          </w:rPr>
          <w:t xml:space="preserve">пунктом 6</w:t>
        </w:r>
      </w:hyperlink>
      <w:r>
        <w:rPr>
          <w:sz w:val="24"/>
        </w:rPr>
        <w:t xml:space="preserve"> настоящих Правил об истребовании всех накоплений для жилищного обеспечения, учтенных на специальном депонентном счете указанного бывшего участника. Для получения дополнительной выплаты указанное лицо, за исключением участника накопительно-ипотечной системы, к рапорту (заявлению) прилагает копии паспортов гражданина Российской Федерации всех членов семьи и свидетельств о рождении детей, не достигших 14-летного возраста, а в случае если участник накопительно-ипотечной системы был усыновлен, - копию свидетельства об усыновлении либо решение суда об усыновлении.</w:t>
      </w:r>
    </w:p>
    <w:p>
      <w:pPr>
        <w:pStyle w:val="0"/>
        <w:jc w:val="both"/>
      </w:pPr>
      <w:r>
        <w:rPr>
          <w:sz w:val="24"/>
        </w:rPr>
        <w:t xml:space="preserve">(в ред. Постановлений Правительства РФ от 27.05.2020 </w:t>
      </w:r>
      <w:hyperlink w:history="0" r:id="rId205"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rPr>
        <w:t xml:space="preserve">, от 17.05.2023 </w:t>
      </w:r>
      <w:hyperlink w:history="0" r:id="rId206"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Заявитель несет ответственность за достоверность сведений, указанных в рапорте (заявлении) о выплате накоплений для жилищного обеспечения.</w:t>
      </w:r>
    </w:p>
    <w:p>
      <w:pPr>
        <w:pStyle w:val="0"/>
        <w:jc w:val="both"/>
      </w:pPr>
      <w:r>
        <w:rPr>
          <w:sz w:val="24"/>
        </w:rPr>
        <w:t xml:space="preserve">(абзац введен </w:t>
      </w:r>
      <w:hyperlink w:history="0" r:id="rId207"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12.11.2016 N 1172)</w:t>
      </w:r>
    </w:p>
    <w:p>
      <w:pPr>
        <w:pStyle w:val="0"/>
        <w:spacing w:before="240" w:line-rule="auto"/>
        <w:ind w:firstLine="540"/>
        <w:jc w:val="both"/>
      </w:pPr>
      <w:r>
        <w:rPr>
          <w:sz w:val="24"/>
        </w:rPr>
        <w:t xml:space="preserve">Абзац утратил силу. - </w:t>
      </w:r>
      <w:hyperlink w:history="0" r:id="rId208"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27.05.2020 N 758.</w:t>
      </w:r>
    </w:p>
    <w:p>
      <w:pPr>
        <w:pStyle w:val="0"/>
        <w:spacing w:before="240" w:line-rule="auto"/>
        <w:ind w:firstLine="540"/>
        <w:jc w:val="both"/>
      </w:pPr>
      <w:r>
        <w:rPr>
          <w:sz w:val="24"/>
        </w:rPr>
        <w:t xml:space="preserve">Федеральные органы организуют работу по проверке сведений, содержащихся в рапортах (заявлениях), а также оформляют выписку из приказа об увольнении с военной службы (с указанием основания увольнения), справки о составе семьи и об общей продолжительности военной службы участника накопительно-ипотечной системы. По результатам проверки федеральные органы принимают решение о предоставлении дополнительной выплаты либо об отказе в предоставлении дополнительной выплаты.</w:t>
      </w:r>
    </w:p>
    <w:p>
      <w:pPr>
        <w:pStyle w:val="0"/>
        <w:jc w:val="both"/>
      </w:pPr>
      <w:r>
        <w:rPr>
          <w:sz w:val="24"/>
        </w:rPr>
        <w:t xml:space="preserve">(абзац введен </w:t>
      </w:r>
      <w:hyperlink w:history="0" r:id="rId20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17.05.2023 N 770)</w:t>
      </w:r>
    </w:p>
    <w:bookmarkStart w:id="323" w:name="P323"/>
    <w:bookmarkEnd w:id="323"/>
    <w:p>
      <w:pPr>
        <w:pStyle w:val="0"/>
        <w:spacing w:before="240" w:line-rule="auto"/>
        <w:ind w:firstLine="540"/>
        <w:jc w:val="both"/>
      </w:pPr>
      <w:r>
        <w:rPr>
          <w:sz w:val="24"/>
        </w:rPr>
        <w:t xml:space="preserve">21. Федеральные органы ежемесячно, до 20-го числа, представляют в уполномоченный федеральный орган по утверждаемым им формам сведения о лицах, получивших право использовать накопления для жилищного обеспечения и изъявивших желание реализовать это право (далее - сведения о бывших участниках (членах их семей), и решение о предоставлении дополнительной выплаты лицам, указанным в </w:t>
      </w:r>
      <w:hyperlink w:history="0" r:id="rId21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2 статьи 4</w:t>
        </w:r>
      </w:hyperlink>
      <w:r>
        <w:rPr>
          <w:sz w:val="24"/>
        </w:rPr>
        <w:t xml:space="preserve"> Федерального закона.</w:t>
      </w:r>
    </w:p>
    <w:p>
      <w:pPr>
        <w:pStyle w:val="0"/>
        <w:jc w:val="both"/>
      </w:pPr>
      <w:r>
        <w:rPr>
          <w:sz w:val="24"/>
        </w:rPr>
        <w:t xml:space="preserve">(п. 21 в ред. </w:t>
      </w:r>
      <w:hyperlink w:history="0" r:id="rId211"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22. </w:t>
      </w:r>
      <w:r>
        <w:rPr>
          <w:sz w:val="24"/>
        </w:rPr>
        <w:t xml:space="preserve">Порядок</w:t>
      </w:r>
      <w:r>
        <w:rPr>
          <w:sz w:val="24"/>
        </w:rPr>
        <w:t xml:space="preserve"> подготовки сведений об участниках, а также сведений о бывших участниках (членах их семей) и решения о предоставлении дополнительной выплаты лицам, указанным в </w:t>
      </w:r>
      <w:hyperlink w:history="0" r:id="rId212"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2 статьи 4</w:t>
        </w:r>
      </w:hyperlink>
      <w:r>
        <w:rPr>
          <w:sz w:val="24"/>
        </w:rPr>
        <w:t xml:space="preserve"> Федерального закона, определяется федеральными органами.</w:t>
      </w:r>
    </w:p>
    <w:p>
      <w:pPr>
        <w:pStyle w:val="0"/>
        <w:jc w:val="both"/>
      </w:pPr>
      <w:r>
        <w:rPr>
          <w:sz w:val="24"/>
        </w:rPr>
        <w:t xml:space="preserve">(в ред. Постановлений Правительства РФ от 29.12.2016 </w:t>
      </w:r>
      <w:hyperlink w:history="0" r:id="rId21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 от 17.05.2023 </w:t>
      </w:r>
      <w:hyperlink w:history="0" r:id="rId214"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Срок представления указанных сведений и решения о предоставлении дополнительной выплаты не должен составлять более 3 месяцев со дня поступления соответствующего рапорта (заявления) от участника (бывшего участника или члена его семьи).</w:t>
      </w:r>
    </w:p>
    <w:p>
      <w:pPr>
        <w:pStyle w:val="0"/>
        <w:jc w:val="both"/>
      </w:pPr>
      <w:r>
        <w:rPr>
          <w:sz w:val="24"/>
        </w:rPr>
        <w:t xml:space="preserve">(абзац введен </w:t>
      </w:r>
      <w:hyperlink w:history="0" r:id="rId215"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17.09.2013 N 811; в ред. </w:t>
      </w:r>
      <w:hyperlink w:history="0" r:id="rId216"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23. Накопления для жилищного обеспечения, учтенные на специальном депонентном счете в уполномоченном федеральном органе, продолжают находиться в доверительном управлении управляющих компаний, отобранных на конкурсной основе, до перечисления накоплений для жилищного обеспечения бывшим участникам (членам их семей).</w:t>
      </w:r>
    </w:p>
    <w:p>
      <w:pPr>
        <w:pStyle w:val="0"/>
        <w:spacing w:before="240" w:line-rule="auto"/>
        <w:ind w:firstLine="540"/>
        <w:jc w:val="both"/>
      </w:pPr>
      <w:r>
        <w:rPr>
          <w:sz w:val="24"/>
        </w:rPr>
        <w:t xml:space="preserve">Специальный депонентный счет закрывается в течение 1 месяца после перечисления всех учтенных на нем средств получателю накоплений.</w:t>
      </w:r>
    </w:p>
    <w:p>
      <w:pPr>
        <w:pStyle w:val="0"/>
        <w:spacing w:before="240" w:line-rule="auto"/>
        <w:ind w:firstLine="540"/>
        <w:jc w:val="both"/>
      </w:pPr>
      <w:r>
        <w:rPr>
          <w:sz w:val="24"/>
        </w:rPr>
        <w:t xml:space="preserve">24. В течение 30 дней со дня закрытия именного накопительного счета и не позднее 30-го дня с даты поступления в уполномоченный федеральный орган после закрытия именного накопительного счета участника сведений, указанных в </w:t>
      </w:r>
      <w:hyperlink w:history="0" w:anchor="P323" w:tooltip="21. Федеральные органы ежемесячно, до 20-го числа, представляют в уполномоченный федеральный орган по утверждаемым им формам сведения о лицах, получивших право использовать накопления для жилищного обеспечения и изъявивших желание реализовать это право (далее - сведения о бывших участниках (членах их семей), и решение о предоставлении дополнительной выплаты лицам, указанным в части 2 статьи 4 Федерального закона.">
        <w:r>
          <w:rPr>
            <w:sz w:val="24"/>
            <w:color w:val="0000ff"/>
          </w:rPr>
          <w:t xml:space="preserve">пункте 21</w:t>
        </w:r>
      </w:hyperlink>
      <w:r>
        <w:rPr>
          <w:sz w:val="24"/>
        </w:rPr>
        <w:t xml:space="preserve"> настоящих Правил, уполномоченный федеральный орган проводит проверку информации, содержащейся в сведениях о бывших участниках накопительно-ипотечной системы (членах их семей), и решения о предоставлении дополнительной выплаты лицам, указанным в </w:t>
      </w:r>
      <w:hyperlink w:history="0" r:id="rId21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2 статьи 4</w:t>
        </w:r>
      </w:hyperlink>
      <w:r>
        <w:rPr>
          <w:sz w:val="24"/>
        </w:rPr>
        <w:t xml:space="preserve"> Федерального закона, полученных от федеральных органов, на соответствие данным, содержащимся на специальном депонентном счете бывшего участника накопительно-ипотечной системы, а также полноту и правильность платежных реквизитов и при их соответствии перечисляет накопления для жилищного обеспечения по указанным реквизитам.</w:t>
      </w:r>
    </w:p>
    <w:p>
      <w:pPr>
        <w:pStyle w:val="0"/>
        <w:jc w:val="both"/>
      </w:pPr>
      <w:r>
        <w:rPr>
          <w:sz w:val="24"/>
        </w:rPr>
        <w:t xml:space="preserve">(в ред. </w:t>
      </w:r>
      <w:hyperlink w:history="0" r:id="rId218"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Накопления для жилищного обеспечения предоставляются получателю накоплений в форме безналичного расчета путем перечисления средств в соответствии с </w:t>
      </w:r>
      <w:hyperlink w:history="0" w:anchor="P258" w:tooltip="5. Накопления для жилищного обеспечения предоставляются участнику накопительно-ипотечной системы в форме безналичного расчета одним из следующих способов:">
        <w:r>
          <w:rPr>
            <w:sz w:val="24"/>
            <w:color w:val="0000ff"/>
          </w:rPr>
          <w:t xml:space="preserve">пунктом 5</w:t>
        </w:r>
      </w:hyperlink>
      <w:r>
        <w:rPr>
          <w:sz w:val="24"/>
        </w:rPr>
        <w:t xml:space="preserve"> настоящих Правил.</w:t>
      </w:r>
    </w:p>
    <w:p>
      <w:pPr>
        <w:pStyle w:val="0"/>
        <w:spacing w:before="240" w:line-rule="auto"/>
        <w:ind w:firstLine="540"/>
        <w:jc w:val="both"/>
      </w:pPr>
      <w:r>
        <w:rPr>
          <w:sz w:val="24"/>
        </w:rPr>
        <w:t xml:space="preserve">Уполномоченный федеральный орган уведомляет федеральные органы о перечислении денежных средств бывшим участникам (членам их семей):</w:t>
      </w:r>
    </w:p>
    <w:p>
      <w:pPr>
        <w:pStyle w:val="0"/>
        <w:jc w:val="both"/>
      </w:pPr>
      <w:r>
        <w:rPr>
          <w:sz w:val="24"/>
        </w:rPr>
        <w:t xml:space="preserve">(в ред. </w:t>
      </w:r>
      <w:hyperlink w:history="0" r:id="rId219"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а) ежеквартально, до 20-го числа месяца, следующего за отчетным кварталом;</w:t>
      </w:r>
    </w:p>
    <w:p>
      <w:pPr>
        <w:pStyle w:val="0"/>
        <w:spacing w:before="240" w:line-rule="auto"/>
        <w:ind w:firstLine="540"/>
        <w:jc w:val="both"/>
      </w:pPr>
      <w:r>
        <w:rPr>
          <w:sz w:val="24"/>
        </w:rPr>
        <w:t xml:space="preserve">б) по отдельным запросам федеральных органов в отношении конкретных бывших участников (членов их семей) - в течение 10 рабочих дней со дня получения запроса.</w:t>
      </w:r>
    </w:p>
    <w:p>
      <w:pPr>
        <w:pStyle w:val="0"/>
        <w:jc w:val="both"/>
      </w:pPr>
      <w:r>
        <w:rPr>
          <w:sz w:val="24"/>
        </w:rPr>
        <w:t xml:space="preserve">(в ред. Постановлений Правительства РФ от 17.09.2013 </w:t>
      </w:r>
      <w:hyperlink w:history="0" r:id="rId220"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rPr>
        <w:t xml:space="preserve">, от 29.12.2016 </w:t>
      </w:r>
      <w:hyperlink w:history="0" r:id="rId22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25. Уполномоченный федеральный орган не осуществляет перечисление средств в следующих случаях:</w:t>
      </w:r>
    </w:p>
    <w:p>
      <w:pPr>
        <w:pStyle w:val="0"/>
        <w:spacing w:before="240" w:line-rule="auto"/>
        <w:ind w:firstLine="540"/>
        <w:jc w:val="both"/>
      </w:pPr>
      <w:r>
        <w:rPr>
          <w:sz w:val="24"/>
        </w:rPr>
        <w:t xml:space="preserve">а) выявление несоответствия сведений о бывших участниках (членах их семей) данным, содержащимся на специальном депонентном счете бывшего участника;</w:t>
      </w:r>
    </w:p>
    <w:p>
      <w:pPr>
        <w:pStyle w:val="0"/>
        <w:jc w:val="both"/>
      </w:pPr>
      <w:r>
        <w:rPr>
          <w:sz w:val="24"/>
        </w:rPr>
        <w:t xml:space="preserve">(в ред. </w:t>
      </w:r>
      <w:hyperlink w:history="0" r:id="rId222"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27.05.2020 N 758)</w:t>
      </w:r>
    </w:p>
    <w:p>
      <w:pPr>
        <w:pStyle w:val="0"/>
        <w:spacing w:before="240" w:line-rule="auto"/>
        <w:ind w:firstLine="540"/>
        <w:jc w:val="both"/>
      </w:pPr>
      <w:r>
        <w:rPr>
          <w:sz w:val="24"/>
        </w:rPr>
        <w:t xml:space="preserve">б) отказ территориального органа Федерального казначейства в перечислении денежных средств в связи с выявленными им ошибками в платежных реквизитах;</w:t>
      </w:r>
    </w:p>
    <w:p>
      <w:pPr>
        <w:pStyle w:val="0"/>
        <w:spacing w:before="240" w:line-rule="auto"/>
        <w:ind w:firstLine="540"/>
        <w:jc w:val="both"/>
      </w:pPr>
      <w:r>
        <w:rPr>
          <w:sz w:val="24"/>
        </w:rPr>
        <w:t xml:space="preserve">в) погашение ипотечного кредита (займа) в соответствии с </w:t>
      </w:r>
      <w:hyperlink w:history="0" w:anchor="P296" w:tooltip="18. В случаях, предусмотренных частью 3 статьи 12 Федерального закона и статьей 2 Федерального закона &quot;О внесении изменений в статьи 4 и 12 Федерального закона &quot;О накопительно-ипотечной системе жилищного обеспечения военнослужащих&quot;, уполномоченный федеральный орган в течение 3 рабочих дней со дня единовременного начисления на именной накопительный счет участника накопительно-ипотечной системы денежных средств в размере задолженности такого участника по ипотечному кредиту (займу) с учетом начисленной в со...">
        <w:r>
          <w:rPr>
            <w:sz w:val="24"/>
            <w:color w:val="0000ff"/>
          </w:rPr>
          <w:t xml:space="preserve">пунктом 18</w:t>
        </w:r>
      </w:hyperlink>
      <w:r>
        <w:rPr>
          <w:sz w:val="24"/>
        </w:rPr>
        <w:t xml:space="preserve"> настоящих Правил.</w:t>
      </w:r>
    </w:p>
    <w:p>
      <w:pPr>
        <w:pStyle w:val="0"/>
        <w:jc w:val="both"/>
      </w:pPr>
      <w:r>
        <w:rPr>
          <w:sz w:val="24"/>
        </w:rPr>
        <w:t xml:space="preserve">(пп. "в" в ред. </w:t>
      </w:r>
      <w:hyperlink w:history="0" r:id="rId223"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27.05.2020 N 758)</w:t>
      </w:r>
    </w:p>
    <w:p>
      <w:pPr>
        <w:pStyle w:val="0"/>
        <w:spacing w:before="240" w:line-rule="auto"/>
        <w:ind w:firstLine="540"/>
        <w:jc w:val="both"/>
      </w:pPr>
      <w:r>
        <w:rPr>
          <w:sz w:val="24"/>
        </w:rPr>
        <w:t xml:space="preserve">Уполномоченный федеральный орган в срок, установленный для перечисления накоплений для жилищного обеспечения получателям таких накоплений, уведомляет об отказе в перечислении средств с указанием причины отказа соответствующий федеральный орган.</w:t>
      </w:r>
    </w:p>
    <w:p>
      <w:pPr>
        <w:pStyle w:val="0"/>
        <w:jc w:val="both"/>
      </w:pPr>
      <w:r>
        <w:rPr>
          <w:sz w:val="24"/>
        </w:rPr>
        <w:t xml:space="preserve">(в ред. Постановлений Правительства РФ от 15.05.2008 </w:t>
      </w:r>
      <w:hyperlink w:history="0" r:id="rId224"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370</w:t>
        </w:r>
      </w:hyperlink>
      <w:r>
        <w:rPr>
          <w:sz w:val="24"/>
        </w:rPr>
        <w:t xml:space="preserve">, от 29.12.2016 </w:t>
      </w:r>
      <w:hyperlink w:history="0" r:id="rId225"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bookmarkStart w:id="347" w:name="P347"/>
    <w:bookmarkEnd w:id="347"/>
    <w:p>
      <w:pPr>
        <w:pStyle w:val="0"/>
        <w:spacing w:before="240" w:line-rule="auto"/>
        <w:ind w:firstLine="540"/>
        <w:jc w:val="both"/>
      </w:pPr>
      <w:r>
        <w:rPr>
          <w:sz w:val="24"/>
        </w:rPr>
        <w:t xml:space="preserve">26. В случае возврата кредитной организацией в уполномоченный федеральный орган ранее перечисленных денежных средств в связи с выявленными ошибками в платежных реквизитах уполномоченный федеральный орган в течение 3 рабочих дней </w:t>
      </w:r>
      <w:r>
        <w:rPr>
          <w:sz w:val="24"/>
        </w:rPr>
        <w:t xml:space="preserve">уведомляет</w:t>
      </w:r>
      <w:r>
        <w:rPr>
          <w:sz w:val="24"/>
        </w:rPr>
        <w:t xml:space="preserve"> об указанном обстоятельстве соответствующий федеральный орган.</w:t>
      </w:r>
    </w:p>
    <w:p>
      <w:pPr>
        <w:pStyle w:val="0"/>
        <w:jc w:val="both"/>
      </w:pPr>
      <w:r>
        <w:rPr>
          <w:sz w:val="24"/>
        </w:rPr>
        <w:t xml:space="preserve">(в ред. Постановлений Правительства РФ от 15.05.2008 </w:t>
      </w:r>
      <w:hyperlink w:history="0" r:id="rId226"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370</w:t>
        </w:r>
      </w:hyperlink>
      <w:r>
        <w:rPr>
          <w:sz w:val="24"/>
        </w:rPr>
        <w:t xml:space="preserve">, от 17.09.2013 </w:t>
      </w:r>
      <w:hyperlink w:history="0" r:id="rId227" w:tooltip="Постановление Правительства РФ от 17.09.2013 N 811 (ред. от 17.05.2023) &quot;О внесении изменений в некоторые акты Правительства Российской Федерации по вопросам функционирования накопительно-ипотечной системы жилищного обеспечения военнослужащих&quot; {КонсультантПлюс}">
        <w:r>
          <w:rPr>
            <w:sz w:val="24"/>
            <w:color w:val="0000ff"/>
          </w:rPr>
          <w:t xml:space="preserve">N 811</w:t>
        </w:r>
      </w:hyperlink>
      <w:r>
        <w:rPr>
          <w:sz w:val="24"/>
        </w:rPr>
        <w:t xml:space="preserve">, от 29.12.2016 </w:t>
      </w:r>
      <w:hyperlink w:history="0" r:id="rId228"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27. Федеральный орган, получивший уведомление уполномоченного федерального органа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w:t>
      </w:r>
      <w:hyperlink w:history="0" w:anchor="P347" w:tooltip="26. В случае возврата кредитной организацией в уполномоченный федеральный орган ранее перечисленных денежных средств в связи с выявленными ошибками в платежных реквизитах уполномоченный федеральный орган в течение 3 рабочих дней уведомляет об указанном обстоятельстве соответствующий федеральный орган.">
        <w:r>
          <w:rPr>
            <w:sz w:val="24"/>
            <w:color w:val="0000ff"/>
          </w:rPr>
          <w:t xml:space="preserve">пункте 26</w:t>
        </w:r>
      </w:hyperlink>
      <w:r>
        <w:rPr>
          <w:sz w:val="24"/>
        </w:rPr>
        <w:t xml:space="preserve"> настоящих Правил, в </w:t>
      </w:r>
      <w:r>
        <w:rPr>
          <w:sz w:val="24"/>
        </w:rPr>
        <w:t xml:space="preserve">порядке</w:t>
      </w:r>
      <w:r>
        <w:rPr>
          <w:sz w:val="24"/>
        </w:rPr>
        <w:t xml:space="preserve"> и сроки, которые установлены федеральным органом, доводит указанную информацию до получателя накоплений и принимает необходимые меры по незамедлительному устранению причин, послуживших основанием для отказа в перечислении указанных средств.</w:t>
      </w:r>
    </w:p>
    <w:p>
      <w:pPr>
        <w:pStyle w:val="0"/>
        <w:jc w:val="both"/>
      </w:pPr>
      <w:r>
        <w:rPr>
          <w:sz w:val="24"/>
        </w:rPr>
        <w:t xml:space="preserve">(в ред. Постановлений Правительства РФ от 15.05.2008 </w:t>
      </w:r>
      <w:hyperlink w:history="0" r:id="rId229" w:tooltip="Постановление Правительства РФ от 15.05.2008 N 370 (ред. от 01.07.2025) &quot;О порядке ипотечного кредитования участников накопительно-ипотечной системы жилищного обеспечения военнослужащих&quot; (вместе с &quot;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370</w:t>
        </w:r>
      </w:hyperlink>
      <w:r>
        <w:rPr>
          <w:sz w:val="24"/>
        </w:rPr>
        <w:t xml:space="preserve">, от 29.12.2016 </w:t>
      </w:r>
      <w:hyperlink w:history="0" r:id="rId230"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spacing w:before="240" w:line-rule="auto"/>
        <w:ind w:firstLine="540"/>
        <w:jc w:val="both"/>
      </w:pPr>
      <w:r>
        <w:rPr>
          <w:sz w:val="24"/>
        </w:rPr>
        <w:t xml:space="preserve">28. Во время нахождения накоплений для жилищного обеспечения на специальном депонентном счете на них начисляются доходы от инвестирования в порядке, аналогичном порядку начисления доходов от инвестирования накоплений для жилищного обеспечения до даты закрытия специального депонентного счета.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7 ноября 2005 г. N 655</w:t>
      </w:r>
    </w:p>
    <w:p>
      <w:pPr>
        <w:pStyle w:val="0"/>
        <w:ind w:firstLine="540"/>
        <w:jc w:val="both"/>
      </w:pPr>
      <w:r>
        <w:rPr>
          <w:sz w:val="24"/>
        </w:rPr>
      </w:r>
    </w:p>
    <w:bookmarkStart w:id="362" w:name="P362"/>
    <w:bookmarkEnd w:id="362"/>
    <w:p>
      <w:pPr>
        <w:pStyle w:val="2"/>
        <w:jc w:val="center"/>
      </w:pPr>
      <w:r>
        <w:rPr>
          <w:sz w:val="24"/>
        </w:rPr>
        <w:t xml:space="preserve">ПРАВИЛА</w:t>
      </w:r>
    </w:p>
    <w:p>
      <w:pPr>
        <w:pStyle w:val="2"/>
        <w:jc w:val="center"/>
      </w:pPr>
      <w:r>
        <w:rPr>
          <w:sz w:val="24"/>
        </w:rPr>
        <w:t xml:space="preserve">РАСКРЫТИЯ ИНФОРМАЦИИ О ФОРМИРОВАНИИ,</w:t>
      </w:r>
    </w:p>
    <w:p>
      <w:pPr>
        <w:pStyle w:val="2"/>
        <w:jc w:val="center"/>
      </w:pPr>
      <w:r>
        <w:rPr>
          <w:sz w:val="24"/>
        </w:rPr>
        <w:t xml:space="preserve">ОБ ИНВЕСТИРОВАНИИ И ИСПОЛЬЗОВАНИИ НАКОПЛЕНИЙ</w:t>
      </w:r>
    </w:p>
    <w:p>
      <w:pPr>
        <w:pStyle w:val="2"/>
        <w:jc w:val="center"/>
      </w:pPr>
      <w:r>
        <w:rPr>
          <w:sz w:val="24"/>
        </w:rPr>
        <w:t xml:space="preserve">ДЛЯ ЖИЛИЩНОГО ОБЕСПЕЧЕНИЯ ВОЕННОСЛУЖАЩИХ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231" w:tooltip="Постановление Правительства РФ от 17.10.2006 N 614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Постановлением</w:t>
              </w:r>
            </w:hyperlink>
            <w:r>
              <w:rPr>
                <w:sz w:val="24"/>
                <w:color w:val="392c69"/>
              </w:rPr>
              <w:t xml:space="preserve"> Правительства РФ от 17.10.2006 N 614;</w:t>
            </w:r>
          </w:p>
          <w:p>
            <w:pPr>
              <w:pStyle w:val="0"/>
              <w:jc w:val="center"/>
            </w:pPr>
            <w:r>
              <w:rPr>
                <w:sz w:val="24"/>
                <w:color w:val="392c69"/>
              </w:rPr>
              <w:t xml:space="preserve">в ред. </w:t>
            </w:r>
            <w:hyperlink w:history="0" r:id="rId232" w:tooltip="Постановление Правительства РФ от 25.02.2025 N 216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color w:val="392c69"/>
              </w:rPr>
              <w:t xml:space="preserve"> Правительства РФ от 25.02.2025 N 216)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Настоящие Правила разработаны в соответствии с Федеральным </w:t>
      </w:r>
      <w:hyperlink w:history="0" r:id="rId23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 накопительно-ипотечной системе жилищного обеспечения военнослужащих" (далее - Федеральный закон) в целях организации деятельности по раскрытию информации о формировании, об инвестировании и использовании накоплений для жилищного обеспечения военнослужащих.</w:t>
      </w:r>
    </w:p>
    <w:p>
      <w:pPr>
        <w:pStyle w:val="0"/>
        <w:spacing w:before="240" w:line-rule="auto"/>
        <w:ind w:firstLine="540"/>
        <w:jc w:val="both"/>
      </w:pPr>
      <w:r>
        <w:rPr>
          <w:sz w:val="24"/>
        </w:rPr>
        <w:t xml:space="preserve">2. В настоящих Правилах используются понятия, определенные Федеральным </w:t>
      </w:r>
      <w:hyperlink w:history="0" r:id="rId23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3. Раскрытие информации о формировании, об инвестировании и использовании накоплений для жилищного обеспечения военнослужащих осуществляется федеральным </w:t>
      </w:r>
      <w:hyperlink w:history="0" r:id="rId235" w:tooltip="Указ Президента РФ от 20.04.2005 N 449 &quot;Вопросы накопительно-ипотечной системы жилищного обеспечения военнослужащих&quot; {КонсультантПлюс}">
        <w:r>
          <w:rPr>
            <w:sz w:val="24"/>
            <w:color w:val="0000ff"/>
          </w:rPr>
          <w:t xml:space="preserve">органом</w:t>
        </w:r>
      </w:hyperlink>
      <w:r>
        <w:rPr>
          <w:sz w:val="24"/>
        </w:rPr>
        <w:t xml:space="preserve"> исполнительной власти, обеспечивающим функционирование накопительно-ипотечной системы жилищного обеспечения военнослужащих (далее - уполномоченный федеральный орган).</w:t>
      </w:r>
    </w:p>
    <w:p>
      <w:pPr>
        <w:pStyle w:val="0"/>
        <w:spacing w:before="240" w:line-rule="auto"/>
        <w:ind w:firstLine="540"/>
        <w:jc w:val="both"/>
      </w:pPr>
      <w:r>
        <w:rPr>
          <w:sz w:val="24"/>
        </w:rPr>
        <w:t xml:space="preserve">4. Уполномоченный федеральный орган несет ответственность за полноту и достоверность, а также за соблюдение сроков раскрытия информации, предусмотренной настоящими Правилами.</w:t>
      </w:r>
    </w:p>
    <w:bookmarkStart w:id="374" w:name="P374"/>
    <w:bookmarkEnd w:id="374"/>
    <w:p>
      <w:pPr>
        <w:pStyle w:val="0"/>
        <w:spacing w:before="240" w:line-rule="auto"/>
        <w:ind w:firstLine="540"/>
        <w:jc w:val="both"/>
      </w:pPr>
      <w:r>
        <w:rPr>
          <w:sz w:val="24"/>
        </w:rPr>
        <w:t xml:space="preserve">5. Раскрытию уполномоченным федеральным органом подлежит следующая информация:</w:t>
      </w:r>
    </w:p>
    <w:p>
      <w:pPr>
        <w:pStyle w:val="0"/>
        <w:spacing w:before="240" w:line-rule="auto"/>
        <w:ind w:firstLine="540"/>
        <w:jc w:val="both"/>
      </w:pPr>
      <w:r>
        <w:rPr>
          <w:sz w:val="24"/>
        </w:rPr>
        <w:t xml:space="preserve">а) сведения об изменении размера накоплений для жилищного обеспечения военнослужащих за отчетный год по форме согласно </w:t>
      </w:r>
      <w:hyperlink w:history="0" w:anchor="P402" w:tooltip="СВЕДЕНИЯ">
        <w:r>
          <w:rPr>
            <w:sz w:val="24"/>
            <w:color w:val="0000ff"/>
          </w:rPr>
          <w:t xml:space="preserve">приложению N 1</w:t>
        </w:r>
      </w:hyperlink>
      <w:r>
        <w:rPr>
          <w:sz w:val="24"/>
        </w:rPr>
        <w:t xml:space="preserve">;</w:t>
      </w:r>
    </w:p>
    <w:p>
      <w:pPr>
        <w:pStyle w:val="0"/>
        <w:spacing w:before="240" w:line-rule="auto"/>
        <w:ind w:firstLine="540"/>
        <w:jc w:val="both"/>
      </w:pPr>
      <w:r>
        <w:rPr>
          <w:sz w:val="24"/>
        </w:rPr>
        <w:t xml:space="preserve">б) сведения об использовании накоплений для жилищного обеспечения военнослужащих за отчетный год по форме согласно </w:t>
      </w:r>
      <w:hyperlink w:history="0" w:anchor="P462" w:tooltip="СВЕДЕНИЯ">
        <w:r>
          <w:rPr>
            <w:sz w:val="24"/>
            <w:color w:val="0000ff"/>
          </w:rPr>
          <w:t xml:space="preserve">приложению N 2</w:t>
        </w:r>
      </w:hyperlink>
      <w:r>
        <w:rPr>
          <w:sz w:val="24"/>
        </w:rPr>
        <w:t xml:space="preserve">;</w:t>
      </w:r>
    </w:p>
    <w:p>
      <w:pPr>
        <w:pStyle w:val="0"/>
        <w:spacing w:before="240" w:line-rule="auto"/>
        <w:ind w:firstLine="540"/>
        <w:jc w:val="both"/>
      </w:pPr>
      <w:r>
        <w:rPr>
          <w:sz w:val="24"/>
        </w:rPr>
        <w:t xml:space="preserve">в) сведения об изменении рыночной стоимости активов совокупного инвестиционного портфеля за отчетный год по форме согласно </w:t>
      </w:r>
      <w:hyperlink w:history="0" w:anchor="P574" w:tooltip="СВЕДЕНИЯ">
        <w:r>
          <w:rPr>
            <w:sz w:val="24"/>
            <w:color w:val="0000ff"/>
          </w:rPr>
          <w:t xml:space="preserve">приложению N 3</w:t>
        </w:r>
      </w:hyperlink>
      <w:r>
        <w:rPr>
          <w:sz w:val="24"/>
        </w:rPr>
        <w:t xml:space="preserve">;</w:t>
      </w:r>
    </w:p>
    <w:p>
      <w:pPr>
        <w:pStyle w:val="0"/>
        <w:spacing w:before="240" w:line-rule="auto"/>
        <w:ind w:firstLine="540"/>
        <w:jc w:val="both"/>
      </w:pPr>
      <w:r>
        <w:rPr>
          <w:sz w:val="24"/>
        </w:rPr>
        <w:t xml:space="preserve">г) сведения о совокупном инвестиционном портфеле за отчетный год по форме согласно </w:t>
      </w:r>
      <w:hyperlink w:history="0" w:anchor="P623" w:tooltip="СВЕДЕНИЯ">
        <w:r>
          <w:rPr>
            <w:sz w:val="24"/>
            <w:color w:val="0000ff"/>
          </w:rPr>
          <w:t xml:space="preserve">приложению N 4</w:t>
        </w:r>
      </w:hyperlink>
      <w:r>
        <w:rPr>
          <w:sz w:val="24"/>
        </w:rPr>
        <w:t xml:space="preserve">;</w:t>
      </w:r>
    </w:p>
    <w:p>
      <w:pPr>
        <w:pStyle w:val="0"/>
        <w:spacing w:before="240" w:line-rule="auto"/>
        <w:ind w:firstLine="540"/>
        <w:jc w:val="both"/>
      </w:pPr>
      <w:r>
        <w:rPr>
          <w:sz w:val="24"/>
        </w:rPr>
        <w:t xml:space="preserve">д) сведения о доходах от инвестирования накоплений для жилищного обеспечения военнослужащих за отчетный год по форме согласно </w:t>
      </w:r>
      <w:hyperlink w:history="0" w:anchor="P805" w:tooltip="СВЕДЕНИЯ">
        <w:r>
          <w:rPr>
            <w:sz w:val="24"/>
            <w:color w:val="0000ff"/>
          </w:rPr>
          <w:t xml:space="preserve">приложению N 5</w:t>
        </w:r>
      </w:hyperlink>
      <w:r>
        <w:rPr>
          <w:sz w:val="24"/>
        </w:rPr>
        <w:t xml:space="preserve">;</w:t>
      </w:r>
    </w:p>
    <w:p>
      <w:pPr>
        <w:pStyle w:val="0"/>
        <w:spacing w:before="240" w:line-rule="auto"/>
        <w:ind w:firstLine="540"/>
        <w:jc w:val="both"/>
      </w:pPr>
      <w:r>
        <w:rPr>
          <w:sz w:val="24"/>
        </w:rPr>
        <w:t xml:space="preserve">е) сведения о вознаграждении и необходимых расходах управляющих компаний за отчетный год по форме согласно </w:t>
      </w:r>
      <w:hyperlink w:history="0" w:anchor="P923" w:tooltip="СВЕДЕНИЯ">
        <w:r>
          <w:rPr>
            <w:sz w:val="24"/>
            <w:color w:val="0000ff"/>
          </w:rPr>
          <w:t xml:space="preserve">приложению N 6</w:t>
        </w:r>
      </w:hyperlink>
      <w:r>
        <w:rPr>
          <w:sz w:val="24"/>
        </w:rPr>
        <w:t xml:space="preserve">;</w:t>
      </w:r>
    </w:p>
    <w:p>
      <w:pPr>
        <w:pStyle w:val="0"/>
        <w:spacing w:before="240" w:line-rule="auto"/>
        <w:ind w:firstLine="540"/>
        <w:jc w:val="both"/>
      </w:pPr>
      <w:r>
        <w:rPr>
          <w:sz w:val="24"/>
        </w:rPr>
        <w:t xml:space="preserve">ж) сведения о средствах, учтенных на именных накопительных счетах участников накопительно-ипотечной системы, по форме согласно </w:t>
      </w:r>
      <w:hyperlink w:history="0" w:anchor="P1078" w:tooltip="СВЕДЕНИЯ &lt;*&gt;">
        <w:r>
          <w:rPr>
            <w:sz w:val="24"/>
            <w:color w:val="0000ff"/>
          </w:rPr>
          <w:t xml:space="preserve">приложению N 7</w:t>
        </w:r>
      </w:hyperlink>
      <w:r>
        <w:rPr>
          <w:sz w:val="24"/>
        </w:rPr>
        <w:t xml:space="preserve">.</w:t>
      </w:r>
    </w:p>
    <w:bookmarkStart w:id="382" w:name="P382"/>
    <w:bookmarkEnd w:id="382"/>
    <w:p>
      <w:pPr>
        <w:pStyle w:val="0"/>
        <w:spacing w:before="240" w:line-rule="auto"/>
        <w:ind w:firstLine="540"/>
        <w:jc w:val="both"/>
      </w:pPr>
      <w:r>
        <w:rPr>
          <w:sz w:val="24"/>
        </w:rPr>
        <w:t xml:space="preserve">6. Уполномоченный федеральный орган раскрывает информацию, указанную в </w:t>
      </w:r>
      <w:hyperlink w:history="0" w:anchor="P374" w:tooltip="5. Раскрытию уполномоченным федеральным органом подлежит следующая информация:">
        <w:r>
          <w:rPr>
            <w:sz w:val="24"/>
            <w:color w:val="0000ff"/>
          </w:rPr>
          <w:t xml:space="preserve">пункте 5</w:t>
        </w:r>
      </w:hyperlink>
      <w:r>
        <w:rPr>
          <w:sz w:val="24"/>
        </w:rPr>
        <w:t xml:space="preserve"> настоящих Правил, ежегодно, до 1 апреля года, следующего за отчетным, после представления соответствующих отчетов в Правительство Российской Федерации.</w:t>
      </w:r>
    </w:p>
    <w:p>
      <w:pPr>
        <w:pStyle w:val="0"/>
        <w:spacing w:before="240" w:line-rule="auto"/>
        <w:ind w:firstLine="540"/>
        <w:jc w:val="both"/>
      </w:pPr>
      <w:r>
        <w:rPr>
          <w:sz w:val="24"/>
        </w:rPr>
        <w:t xml:space="preserve">Отчетным годом в соответствии с настоящими Правилами считается календарный год с 1 января по 31 декабря включительно.</w:t>
      </w:r>
    </w:p>
    <w:p>
      <w:pPr>
        <w:pStyle w:val="0"/>
        <w:spacing w:before="240" w:line-rule="auto"/>
        <w:ind w:firstLine="540"/>
        <w:jc w:val="both"/>
      </w:pPr>
      <w:r>
        <w:rPr>
          <w:sz w:val="24"/>
        </w:rPr>
        <w:t xml:space="preserve">7. Информация, указанная в </w:t>
      </w:r>
      <w:hyperlink w:history="0" w:anchor="P374" w:tooltip="5. Раскрытию уполномоченным федеральным органом подлежит следующая информация:">
        <w:r>
          <w:rPr>
            <w:sz w:val="24"/>
            <w:color w:val="0000ff"/>
          </w:rPr>
          <w:t xml:space="preserve">пункте 5</w:t>
        </w:r>
      </w:hyperlink>
      <w:r>
        <w:rPr>
          <w:sz w:val="24"/>
        </w:rPr>
        <w:t xml:space="preserve"> настоящих Правил, а также извещения о заключении или прекращении действия договоров доверительного управления с управляющими компаниями уполномоченным федеральным органом:</w:t>
      </w:r>
    </w:p>
    <w:p>
      <w:pPr>
        <w:pStyle w:val="0"/>
        <w:spacing w:before="240" w:line-rule="auto"/>
        <w:ind w:firstLine="540"/>
        <w:jc w:val="both"/>
      </w:pPr>
      <w:r>
        <w:rPr>
          <w:sz w:val="24"/>
        </w:rPr>
        <w:t xml:space="preserve">а) утратил силу. - </w:t>
      </w:r>
      <w:hyperlink w:history="0" r:id="rId236" w:tooltip="Постановление Правительства РФ от 25.02.2025 N 216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Постановление</w:t>
        </w:r>
      </w:hyperlink>
      <w:r>
        <w:rPr>
          <w:sz w:val="24"/>
        </w:rPr>
        <w:t xml:space="preserve"> Правительства РФ от 25.02.2025 N 216;</w:t>
      </w:r>
    </w:p>
    <w:p>
      <w:pPr>
        <w:pStyle w:val="0"/>
        <w:spacing w:before="240" w:line-rule="auto"/>
        <w:ind w:firstLine="540"/>
        <w:jc w:val="both"/>
      </w:pPr>
      <w:r>
        <w:rPr>
          <w:sz w:val="24"/>
        </w:rPr>
        <w:t xml:space="preserve">б) публикуются в официальном печатном издании, обеспечивающем доведение указанной информации до участников накопительно-ипотечной системы;</w:t>
      </w:r>
    </w:p>
    <w:p>
      <w:pPr>
        <w:pStyle w:val="0"/>
        <w:spacing w:before="240" w:line-rule="auto"/>
        <w:ind w:firstLine="540"/>
        <w:jc w:val="both"/>
      </w:pPr>
      <w:r>
        <w:rPr>
          <w:sz w:val="24"/>
        </w:rPr>
        <w:t xml:space="preserve">в) размещаются на его сайте в сети Интернет.</w:t>
      </w:r>
    </w:p>
    <w:p>
      <w:pPr>
        <w:pStyle w:val="0"/>
        <w:spacing w:before="240" w:line-rule="auto"/>
        <w:ind w:firstLine="540"/>
        <w:jc w:val="both"/>
      </w:pPr>
      <w:r>
        <w:rPr>
          <w:sz w:val="24"/>
        </w:rPr>
        <w:t xml:space="preserve">Раскрываемая информация должна быть доступна на сайте в сети Интернет в течение 1 года.</w:t>
      </w:r>
    </w:p>
    <w:p>
      <w:pPr>
        <w:pStyle w:val="0"/>
        <w:spacing w:before="240" w:line-rule="auto"/>
        <w:ind w:firstLine="540"/>
        <w:jc w:val="both"/>
      </w:pPr>
      <w:r>
        <w:rPr>
          <w:sz w:val="24"/>
        </w:rPr>
        <w:t xml:space="preserve">Обновление информации на сайте в сети Интернет производится в соответствии с установленной настоящими Правилами периодичностью раскрытия информации.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1</w:t>
      </w:r>
    </w:p>
    <w:p>
      <w:pPr>
        <w:pStyle w:val="0"/>
        <w:jc w:val="right"/>
      </w:pPr>
      <w:r>
        <w:rPr>
          <w:sz w:val="24"/>
        </w:rPr>
        <w:t xml:space="preserve">к Правилам раскрытия информации</w:t>
      </w:r>
    </w:p>
    <w:p>
      <w:pPr>
        <w:pStyle w:val="0"/>
        <w:jc w:val="right"/>
      </w:pPr>
      <w:r>
        <w:rPr>
          <w:sz w:val="24"/>
        </w:rPr>
        <w:t xml:space="preserve">о формировании, об инвестировании</w:t>
      </w:r>
    </w:p>
    <w:p>
      <w:pPr>
        <w:pStyle w:val="0"/>
        <w:jc w:val="right"/>
      </w:pPr>
      <w:r>
        <w:rPr>
          <w:sz w:val="24"/>
        </w:rPr>
        <w:t xml:space="preserve">и использовании накоплений</w:t>
      </w:r>
    </w:p>
    <w:p>
      <w:pPr>
        <w:pStyle w:val="0"/>
        <w:jc w:val="right"/>
      </w:pPr>
      <w:r>
        <w:rPr>
          <w:sz w:val="24"/>
        </w:rPr>
        <w:t xml:space="preserve">для жилищного обеспечения</w:t>
      </w:r>
    </w:p>
    <w:p>
      <w:pPr>
        <w:pStyle w:val="0"/>
        <w:jc w:val="right"/>
      </w:pPr>
      <w:r>
        <w:rPr>
          <w:sz w:val="24"/>
        </w:rPr>
        <w:t xml:space="preserve">военнослужащих</w:t>
      </w:r>
    </w:p>
    <w:p>
      <w:pPr>
        <w:pStyle w:val="0"/>
        <w:ind w:firstLine="540"/>
        <w:jc w:val="both"/>
      </w:pPr>
      <w:r>
        <w:rPr>
          <w:sz w:val="24"/>
        </w:rPr>
      </w:r>
    </w:p>
    <w:bookmarkStart w:id="402" w:name="P402"/>
    <w:bookmarkEnd w:id="402"/>
    <w:p>
      <w:pPr>
        <w:pStyle w:val="0"/>
        <w:jc w:val="center"/>
      </w:pPr>
      <w:r>
        <w:rPr>
          <w:sz w:val="24"/>
        </w:rPr>
        <w:t xml:space="preserve">СВЕДЕНИЯ</w:t>
      </w:r>
    </w:p>
    <w:p>
      <w:pPr>
        <w:pStyle w:val="0"/>
        <w:jc w:val="center"/>
      </w:pPr>
      <w:r>
        <w:rPr>
          <w:sz w:val="24"/>
        </w:rPr>
        <w:t xml:space="preserve">ОБ ИЗМЕНЕНИИ РАЗМЕРА НАКОПЛЕНИЙ ДЛЯ ЖИЛИЩНОГО</w:t>
      </w:r>
    </w:p>
    <w:p>
      <w:pPr>
        <w:pStyle w:val="0"/>
        <w:jc w:val="center"/>
      </w:pPr>
      <w:r>
        <w:rPr>
          <w:sz w:val="24"/>
        </w:rPr>
        <w:t xml:space="preserve">ОБЕСПЕЧЕНИЯ ВОЕННОСЛУЖАЩИХ ЗА 20__ Г.</w:t>
      </w:r>
    </w:p>
    <w:p>
      <w:pPr>
        <w:pStyle w:val="0"/>
        <w:ind w:firstLine="540"/>
        <w:jc w:val="both"/>
      </w:pPr>
      <w:r>
        <w:rPr>
          <w:sz w:val="24"/>
        </w:rPr>
      </w:r>
    </w:p>
    <w:p>
      <w:pPr>
        <w:pStyle w:val="0"/>
        <w:outlineLvl w:val="2"/>
        <w:jc w:val="right"/>
      </w:pPr>
      <w:r>
        <w:rPr>
          <w:sz w:val="24"/>
        </w:rPr>
        <w:t xml:space="preserve">Таблица 1</w:t>
      </w:r>
    </w:p>
    <w:p>
      <w:pPr>
        <w:pStyle w:val="0"/>
        <w:jc w:val="right"/>
      </w:pPr>
      <w:r>
        <w:rPr>
          <w:sz w:val="24"/>
        </w:rPr>
      </w:r>
    </w:p>
    <w:p>
      <w:pPr>
        <w:pStyle w:val="0"/>
        <w:jc w:val="right"/>
      </w:pPr>
      <w:r>
        <w:rPr>
          <w:sz w:val="24"/>
        </w:rPr>
        <w:t xml:space="preserve">(тыс. рублей)</w:t>
      </w:r>
    </w:p>
    <w:p>
      <w:pPr>
        <w:spacing w:before="0"/>
        <w:spacing w:after="1"/>
      </w:pPr>
    </w:p>
    <w:tbl>
      <w:tblPr>
        <w:tblInd w:w="0" w:type="dxa"/>
        <w:tblLayout w:type="fixed"/>
        <w:tblBorders>
          <w:top w:val="single" w:sz="4"/>
          <w:bottom w:val="single" w:sz="4"/>
        </w:tblBorders>
        <w:tblCellMar>
          <w:top w:w="102" w:type="dxa"/>
          <w:left w:w="62" w:type="dxa"/>
          <w:bottom w:w="102" w:type="dxa"/>
          <w:right w:w="62" w:type="dxa"/>
        </w:tblCellMar>
      </w:tblPr>
      <w:tblGrid>
        <w:gridCol w:w="4706"/>
        <w:gridCol w:w="1815"/>
        <w:gridCol w:w="2475"/>
      </w:tblGrid>
      <w:tr>
        <w:tblPrEx>
          <w:tblBorders>
            <w:insideV w:val="single" w:sz="4"/>
            <w:insideH w:val="single" w:sz="4"/>
          </w:tblBorders>
        </w:tblPrEx>
        <w:tc>
          <w:tcPr>
            <w:tcW w:w="4706" w:type="dxa"/>
            <w:tcBorders>
              <w:top w:val="single" w:sz="4"/>
              <w:left w:val="nil"/>
              <w:bottom w:val="single" w:sz="4"/>
            </w:tcBorders>
          </w:tcPr>
          <w:p>
            <w:pPr>
              <w:pStyle w:val="0"/>
              <w:jc w:val="center"/>
            </w:pPr>
            <w:r>
              <w:rPr>
                <w:sz w:val="24"/>
              </w:rPr>
              <w:t xml:space="preserve">Наименование показателя</w:t>
            </w:r>
          </w:p>
        </w:tc>
        <w:tc>
          <w:tcPr>
            <w:tcW w:w="1815" w:type="dxa"/>
            <w:tcBorders>
              <w:top w:val="single" w:sz="4"/>
              <w:bottom w:val="single" w:sz="4"/>
            </w:tcBorders>
          </w:tcPr>
          <w:p>
            <w:pPr>
              <w:pStyle w:val="0"/>
              <w:jc w:val="center"/>
            </w:pPr>
            <w:r>
              <w:rPr>
                <w:sz w:val="24"/>
              </w:rPr>
              <w:t xml:space="preserve">На начало отчетного года</w:t>
            </w:r>
          </w:p>
        </w:tc>
        <w:tc>
          <w:tcPr>
            <w:tcW w:w="2475" w:type="dxa"/>
            <w:tcBorders>
              <w:top w:val="single" w:sz="4"/>
              <w:bottom w:val="single" w:sz="4"/>
              <w:right w:val="nil"/>
            </w:tcBorders>
          </w:tcPr>
          <w:p>
            <w:pPr>
              <w:pStyle w:val="0"/>
              <w:jc w:val="center"/>
            </w:pPr>
            <w:r>
              <w:rPr>
                <w:sz w:val="24"/>
              </w:rPr>
              <w:t xml:space="preserve">На конец отчетного года</w:t>
            </w:r>
          </w:p>
        </w:tc>
      </w:tr>
      <w:tr>
        <w:tc>
          <w:tcPr>
            <w:tcW w:w="4706" w:type="dxa"/>
            <w:tcBorders>
              <w:top w:val="single" w:sz="4"/>
              <w:left w:val="nil"/>
              <w:bottom w:val="nil"/>
              <w:right w:val="nil"/>
            </w:tcBorders>
          </w:tcPr>
          <w:p>
            <w:pPr>
              <w:pStyle w:val="0"/>
              <w:jc w:val="both"/>
            </w:pPr>
            <w:r>
              <w:rPr>
                <w:sz w:val="24"/>
              </w:rPr>
              <w:t xml:space="preserve">Накопления для жилищного обеспечения - всего</w:t>
            </w:r>
          </w:p>
        </w:tc>
        <w:tc>
          <w:tcPr>
            <w:tcW w:w="1815" w:type="dxa"/>
            <w:tcBorders>
              <w:top w:val="single" w:sz="4"/>
              <w:left w:val="nil"/>
              <w:bottom w:val="nil"/>
              <w:right w:val="nil"/>
            </w:tcBorders>
          </w:tcPr>
          <w:p>
            <w:pPr>
              <w:pStyle w:val="0"/>
              <w:jc w:val="both"/>
            </w:pPr>
            <w:r>
              <w:rPr>
                <w:sz w:val="24"/>
              </w:rPr>
            </w:r>
          </w:p>
        </w:tc>
        <w:tc>
          <w:tcPr>
            <w:tcW w:w="2475" w:type="dxa"/>
            <w:tcBorders>
              <w:top w:val="single" w:sz="4"/>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283"/>
            </w:pPr>
            <w:r>
              <w:rPr>
                <w:sz w:val="24"/>
              </w:rPr>
              <w:t xml:space="preserve">в том числе:</w:t>
            </w:r>
          </w:p>
        </w:tc>
        <w:tc>
          <w:tcPr>
            <w:tcW w:w="1815" w:type="dxa"/>
            <w:tcBorders>
              <w:top w:val="nil"/>
              <w:left w:val="nil"/>
              <w:bottom w:val="nil"/>
              <w:right w:val="nil"/>
            </w:tcBorders>
          </w:tcPr>
          <w:p>
            <w:pPr>
              <w:pStyle w:val="0"/>
              <w:jc w:val="both"/>
            </w:pPr>
            <w:r>
              <w:rPr>
                <w:sz w:val="24"/>
              </w:rPr>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566"/>
            </w:pPr>
            <w:r>
              <w:rPr>
                <w:sz w:val="24"/>
              </w:rPr>
              <w:t xml:space="preserve">учтенные на именных накопительных счетах участников</w:t>
            </w:r>
          </w:p>
        </w:tc>
        <w:tc>
          <w:tcPr>
            <w:tcW w:w="1815" w:type="dxa"/>
            <w:tcBorders>
              <w:top w:val="nil"/>
              <w:left w:val="nil"/>
              <w:bottom w:val="nil"/>
              <w:right w:val="nil"/>
            </w:tcBorders>
          </w:tcPr>
          <w:p>
            <w:pPr>
              <w:pStyle w:val="0"/>
              <w:jc w:val="both"/>
            </w:pPr>
            <w:r>
              <w:rPr>
                <w:sz w:val="24"/>
              </w:rPr>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single" w:sz="4"/>
              <w:right w:val="nil"/>
            </w:tcBorders>
          </w:tcPr>
          <w:p>
            <w:pPr>
              <w:pStyle w:val="0"/>
              <w:ind w:left="566"/>
            </w:pPr>
            <w:r>
              <w:rPr>
                <w:sz w:val="24"/>
              </w:rPr>
              <w:t xml:space="preserve">учтенные на специальных депонентных счетах</w:t>
            </w:r>
          </w:p>
        </w:tc>
        <w:tc>
          <w:tcPr>
            <w:tcW w:w="1815" w:type="dxa"/>
            <w:tcBorders>
              <w:top w:val="nil"/>
              <w:left w:val="nil"/>
              <w:bottom w:val="single" w:sz="4"/>
              <w:right w:val="nil"/>
            </w:tcBorders>
          </w:tcPr>
          <w:p>
            <w:pPr>
              <w:pStyle w:val="0"/>
              <w:jc w:val="both"/>
            </w:pPr>
            <w:r>
              <w:rPr>
                <w:sz w:val="24"/>
              </w:rPr>
            </w:r>
          </w:p>
        </w:tc>
        <w:tc>
          <w:tcPr>
            <w:tcW w:w="2475"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outlineLvl w:val="2"/>
        <w:jc w:val="right"/>
      </w:pPr>
      <w:r>
        <w:rPr>
          <w:sz w:val="24"/>
        </w:rPr>
        <w:t xml:space="preserve">Таблица 2</w:t>
      </w:r>
    </w:p>
    <w:p>
      <w:pPr>
        <w:pStyle w:val="0"/>
        <w:jc w:val="right"/>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706"/>
        <w:gridCol w:w="1815"/>
        <w:gridCol w:w="2475"/>
      </w:tblGrid>
      <w:tr>
        <w:tblPrEx>
          <w:tblBorders>
            <w:insideV w:val="single" w:sz="4"/>
            <w:insideH w:val="single" w:sz="4"/>
          </w:tblBorders>
        </w:tblPrEx>
        <w:tc>
          <w:tcPr>
            <w:tcW w:w="4706" w:type="dxa"/>
            <w:tcBorders>
              <w:top w:val="single" w:sz="4"/>
              <w:left w:val="nil"/>
              <w:bottom w:val="single" w:sz="4"/>
            </w:tcBorders>
          </w:tcPr>
          <w:p>
            <w:pPr>
              <w:pStyle w:val="0"/>
              <w:jc w:val="center"/>
            </w:pPr>
            <w:r>
              <w:rPr>
                <w:sz w:val="24"/>
              </w:rPr>
              <w:t xml:space="preserve">Наименование показателя</w:t>
            </w:r>
          </w:p>
        </w:tc>
        <w:tc>
          <w:tcPr>
            <w:tcW w:w="1815" w:type="dxa"/>
            <w:tcBorders>
              <w:top w:val="single" w:sz="4"/>
              <w:bottom w:val="single" w:sz="4"/>
            </w:tcBorders>
          </w:tcPr>
          <w:p>
            <w:pPr>
              <w:pStyle w:val="0"/>
              <w:jc w:val="center"/>
            </w:pPr>
            <w:r>
              <w:rPr>
                <w:sz w:val="24"/>
              </w:rPr>
              <w:t xml:space="preserve">Код строки</w:t>
            </w:r>
          </w:p>
        </w:tc>
        <w:tc>
          <w:tcPr>
            <w:tcW w:w="2475" w:type="dxa"/>
            <w:tcBorders>
              <w:top w:val="single" w:sz="4"/>
              <w:bottom w:val="single" w:sz="4"/>
              <w:right w:val="nil"/>
            </w:tcBorders>
          </w:tcPr>
          <w:p>
            <w:pPr>
              <w:pStyle w:val="0"/>
              <w:jc w:val="center"/>
            </w:pPr>
            <w:r>
              <w:rPr>
                <w:sz w:val="24"/>
              </w:rPr>
              <w:t xml:space="preserve">Тыс. рублей</w:t>
            </w:r>
          </w:p>
        </w:tc>
      </w:tr>
      <w:tr>
        <w:tc>
          <w:tcPr>
            <w:tcW w:w="4706" w:type="dxa"/>
            <w:tcBorders>
              <w:top w:val="single" w:sz="4"/>
              <w:left w:val="nil"/>
              <w:bottom w:val="nil"/>
              <w:right w:val="nil"/>
            </w:tcBorders>
          </w:tcPr>
          <w:p>
            <w:pPr>
              <w:pStyle w:val="0"/>
            </w:pPr>
            <w:r>
              <w:rPr>
                <w:sz w:val="24"/>
              </w:rPr>
              <w:t xml:space="preserve">Сумма накопительных взносов, полученная уполномоченным федеральным органом из федерального бюджета</w:t>
            </w:r>
          </w:p>
        </w:tc>
        <w:tc>
          <w:tcPr>
            <w:tcW w:w="1815" w:type="dxa"/>
            <w:tcBorders>
              <w:top w:val="single" w:sz="4"/>
              <w:left w:val="nil"/>
              <w:bottom w:val="nil"/>
              <w:right w:val="nil"/>
            </w:tcBorders>
          </w:tcPr>
          <w:p>
            <w:pPr>
              <w:pStyle w:val="0"/>
              <w:jc w:val="center"/>
            </w:pPr>
            <w:r>
              <w:rPr>
                <w:sz w:val="24"/>
              </w:rPr>
              <w:t xml:space="preserve">100</w:t>
            </w:r>
          </w:p>
        </w:tc>
        <w:tc>
          <w:tcPr>
            <w:tcW w:w="2475" w:type="dxa"/>
            <w:tcBorders>
              <w:top w:val="single" w:sz="4"/>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pPr>
            <w:r>
              <w:rPr>
                <w:sz w:val="24"/>
              </w:rPr>
              <w:t xml:space="preserve">Суммарный доход от инвестирования, подлежащий разнесению по именным накопительным счетам за все кварталы отчетного года</w:t>
            </w:r>
          </w:p>
        </w:tc>
        <w:tc>
          <w:tcPr>
            <w:tcW w:w="1815" w:type="dxa"/>
            <w:tcBorders>
              <w:top w:val="nil"/>
              <w:left w:val="nil"/>
              <w:bottom w:val="nil"/>
              <w:right w:val="nil"/>
            </w:tcBorders>
          </w:tcPr>
          <w:p>
            <w:pPr>
              <w:pStyle w:val="0"/>
              <w:jc w:val="center"/>
            </w:pPr>
            <w:r>
              <w:rPr>
                <w:sz w:val="24"/>
              </w:rPr>
              <w:t xml:space="preserve">200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pPr>
            <w:r>
              <w:rPr>
                <w:sz w:val="24"/>
              </w:rPr>
              <w:t xml:space="preserve">Сумма выплаченных накоплений для жилищного обеспечения - всего</w:t>
            </w:r>
          </w:p>
        </w:tc>
        <w:tc>
          <w:tcPr>
            <w:tcW w:w="1815" w:type="dxa"/>
            <w:tcBorders>
              <w:top w:val="nil"/>
              <w:left w:val="nil"/>
              <w:bottom w:val="nil"/>
              <w:right w:val="nil"/>
            </w:tcBorders>
          </w:tcPr>
          <w:p>
            <w:pPr>
              <w:pStyle w:val="0"/>
              <w:jc w:val="center"/>
            </w:pPr>
            <w:r>
              <w:rPr>
                <w:sz w:val="24"/>
              </w:rPr>
              <w:t xml:space="preserve">300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283"/>
            </w:pPr>
            <w:r>
              <w:rPr>
                <w:sz w:val="24"/>
              </w:rPr>
              <w:t xml:space="preserve">в том числе сумма накоплений для жилищного обеспечения, использованных участниками в соответствии с договорами целевых жилищных займов</w:t>
            </w:r>
          </w:p>
        </w:tc>
        <w:tc>
          <w:tcPr>
            <w:tcW w:w="1815" w:type="dxa"/>
            <w:tcBorders>
              <w:top w:val="nil"/>
              <w:left w:val="nil"/>
              <w:bottom w:val="nil"/>
              <w:right w:val="nil"/>
            </w:tcBorders>
          </w:tcPr>
          <w:p>
            <w:pPr>
              <w:pStyle w:val="0"/>
              <w:jc w:val="center"/>
            </w:pPr>
            <w:r>
              <w:rPr>
                <w:sz w:val="24"/>
              </w:rPr>
              <w:t xml:space="preserve">310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pPr>
            <w:r>
              <w:rPr>
                <w:sz w:val="24"/>
              </w:rPr>
              <w:t xml:space="preserve">Сумма прочих поступлений</w:t>
            </w:r>
          </w:p>
        </w:tc>
        <w:tc>
          <w:tcPr>
            <w:tcW w:w="1815" w:type="dxa"/>
            <w:tcBorders>
              <w:top w:val="nil"/>
              <w:left w:val="nil"/>
              <w:bottom w:val="nil"/>
              <w:right w:val="nil"/>
            </w:tcBorders>
          </w:tcPr>
          <w:p>
            <w:pPr>
              <w:pStyle w:val="0"/>
              <w:jc w:val="center"/>
            </w:pPr>
            <w:r>
              <w:rPr>
                <w:sz w:val="24"/>
              </w:rPr>
              <w:t xml:space="preserve">400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single" w:sz="4"/>
              <w:right w:val="nil"/>
            </w:tcBorders>
          </w:tcPr>
          <w:p>
            <w:pPr>
              <w:pStyle w:val="0"/>
            </w:pPr>
            <w:r>
              <w:rPr>
                <w:sz w:val="24"/>
              </w:rPr>
              <w:t xml:space="preserve">Итого - прирост (уменьшение) величины накоплений для жилищного обеспечения в отчетном году (код строки 100 + 200 - 300 + 400)</w:t>
            </w:r>
          </w:p>
        </w:tc>
        <w:tc>
          <w:tcPr>
            <w:tcW w:w="1815" w:type="dxa"/>
            <w:tcBorders>
              <w:top w:val="nil"/>
              <w:left w:val="nil"/>
              <w:bottom w:val="single" w:sz="4"/>
              <w:right w:val="nil"/>
            </w:tcBorders>
          </w:tcPr>
          <w:p>
            <w:pPr>
              <w:pStyle w:val="0"/>
              <w:jc w:val="center"/>
            </w:pPr>
            <w:r>
              <w:rPr>
                <w:sz w:val="24"/>
              </w:rPr>
              <w:t xml:space="preserve">500</w:t>
            </w:r>
          </w:p>
        </w:tc>
        <w:tc>
          <w:tcPr>
            <w:tcW w:w="2475"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Правилам раскрытия информации</w:t>
      </w:r>
    </w:p>
    <w:p>
      <w:pPr>
        <w:pStyle w:val="0"/>
        <w:jc w:val="right"/>
      </w:pPr>
      <w:r>
        <w:rPr>
          <w:sz w:val="24"/>
        </w:rPr>
        <w:t xml:space="preserve">о формировании, об инвестировании</w:t>
      </w:r>
    </w:p>
    <w:p>
      <w:pPr>
        <w:pStyle w:val="0"/>
        <w:jc w:val="right"/>
      </w:pPr>
      <w:r>
        <w:rPr>
          <w:sz w:val="24"/>
        </w:rPr>
        <w:t xml:space="preserve">и использовании накоплений</w:t>
      </w:r>
    </w:p>
    <w:p>
      <w:pPr>
        <w:pStyle w:val="0"/>
        <w:jc w:val="right"/>
      </w:pPr>
      <w:r>
        <w:rPr>
          <w:sz w:val="24"/>
        </w:rPr>
        <w:t xml:space="preserve">для жилищного обеспечения</w:t>
      </w:r>
    </w:p>
    <w:p>
      <w:pPr>
        <w:pStyle w:val="0"/>
        <w:jc w:val="right"/>
      </w:pPr>
      <w:r>
        <w:rPr>
          <w:sz w:val="24"/>
        </w:rPr>
        <w:t xml:space="preserve">военнослужащих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237" w:tooltip="Постановление Правительства РФ от 25.02.2025 N 216 &quot;О внесении изменений в постановление Правительства Российской Федерации от 7 ноября 2005 г. N 655&quot; {КонсультантПлюс}">
              <w:r>
                <w:rPr>
                  <w:sz w:val="24"/>
                  <w:color w:val="0000ff"/>
                </w:rPr>
                <w:t xml:space="preserve">Постановления</w:t>
              </w:r>
            </w:hyperlink>
            <w:r>
              <w:rPr>
                <w:sz w:val="24"/>
                <w:color w:val="392c69"/>
              </w:rPr>
              <w:t xml:space="preserve"> Правительства РФ от 25.02.2025 N 216)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bookmarkStart w:id="462" w:name="P462"/>
    <w:bookmarkEnd w:id="462"/>
    <w:p>
      <w:pPr>
        <w:pStyle w:val="0"/>
        <w:jc w:val="center"/>
      </w:pPr>
      <w:r>
        <w:rPr>
          <w:sz w:val="24"/>
        </w:rPr>
        <w:t xml:space="preserve">СВЕДЕНИЯ</w:t>
      </w:r>
    </w:p>
    <w:p>
      <w:pPr>
        <w:pStyle w:val="0"/>
        <w:jc w:val="center"/>
      </w:pPr>
      <w:r>
        <w:rPr>
          <w:sz w:val="24"/>
        </w:rPr>
        <w:t xml:space="preserve">ОБ ИСПОЛЬЗОВАНИИ НАКОПЛЕНИЙ ДЛЯ ЖИЛИЩНОГО</w:t>
      </w:r>
    </w:p>
    <w:p>
      <w:pPr>
        <w:pStyle w:val="0"/>
        <w:jc w:val="center"/>
      </w:pPr>
      <w:r>
        <w:rPr>
          <w:sz w:val="24"/>
        </w:rPr>
        <w:t xml:space="preserve">ОБЕСПЕЧЕНИЯ ВОЕННОСЛУЖАЩИХ ЗА 20__ Г.</w:t>
      </w:r>
    </w:p>
    <w:p>
      <w:pPr>
        <w:pStyle w:val="0"/>
        <w:ind w:firstLine="540"/>
        <w:jc w:val="both"/>
      </w:pPr>
      <w:r>
        <w:rPr>
          <w:sz w:val="24"/>
        </w:rPr>
      </w:r>
    </w:p>
    <w:p>
      <w:pPr>
        <w:pStyle w:val="0"/>
        <w:outlineLvl w:val="2"/>
        <w:jc w:val="right"/>
      </w:pPr>
      <w:r>
        <w:rPr>
          <w:sz w:val="24"/>
        </w:rPr>
        <w:t xml:space="preserve">Таблица 1</w:t>
      </w:r>
    </w:p>
    <w:p>
      <w:pPr>
        <w:pStyle w:val="0"/>
        <w:ind w:firstLine="54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706"/>
        <w:gridCol w:w="1815"/>
        <w:gridCol w:w="2475"/>
      </w:tblGrid>
      <w:tr>
        <w:tblPrEx>
          <w:tblBorders>
            <w:insideV w:val="single" w:sz="4"/>
            <w:insideH w:val="single" w:sz="4"/>
          </w:tblBorders>
        </w:tblPrEx>
        <w:tc>
          <w:tcPr>
            <w:tcW w:w="4706" w:type="dxa"/>
            <w:tcBorders>
              <w:top w:val="single" w:sz="4"/>
              <w:left w:val="nil"/>
              <w:bottom w:val="single" w:sz="4"/>
            </w:tcBorders>
          </w:tcPr>
          <w:p>
            <w:pPr>
              <w:pStyle w:val="0"/>
              <w:jc w:val="center"/>
            </w:pPr>
            <w:r>
              <w:rPr>
                <w:sz w:val="24"/>
              </w:rPr>
              <w:t xml:space="preserve">Наименование показателя</w:t>
            </w:r>
          </w:p>
        </w:tc>
        <w:tc>
          <w:tcPr>
            <w:tcW w:w="1815" w:type="dxa"/>
            <w:tcBorders>
              <w:top w:val="single" w:sz="4"/>
              <w:bottom w:val="single" w:sz="4"/>
            </w:tcBorders>
          </w:tcPr>
          <w:p>
            <w:pPr>
              <w:pStyle w:val="0"/>
              <w:jc w:val="center"/>
            </w:pPr>
            <w:r>
              <w:rPr>
                <w:sz w:val="24"/>
              </w:rPr>
              <w:t xml:space="preserve">Код строки</w:t>
            </w:r>
          </w:p>
        </w:tc>
        <w:tc>
          <w:tcPr>
            <w:tcW w:w="2475" w:type="dxa"/>
            <w:tcBorders>
              <w:top w:val="single" w:sz="4"/>
              <w:bottom w:val="single" w:sz="4"/>
              <w:right w:val="nil"/>
            </w:tcBorders>
          </w:tcPr>
          <w:p>
            <w:pPr>
              <w:pStyle w:val="0"/>
              <w:jc w:val="center"/>
            </w:pPr>
            <w:r>
              <w:rPr>
                <w:sz w:val="24"/>
              </w:rPr>
              <w:t xml:space="preserve">Тыс. рублей</w:t>
            </w:r>
          </w:p>
        </w:tc>
      </w:tr>
      <w:tr>
        <w:tc>
          <w:tcPr>
            <w:tcW w:w="4706" w:type="dxa"/>
            <w:tcBorders>
              <w:top w:val="single" w:sz="4"/>
              <w:left w:val="nil"/>
              <w:bottom w:val="nil"/>
              <w:right w:val="nil"/>
            </w:tcBorders>
          </w:tcPr>
          <w:bookmarkStart w:id="471" w:name="P471"/>
          <w:bookmarkEnd w:id="471"/>
          <w:p>
            <w:pPr>
              <w:pStyle w:val="0"/>
            </w:pPr>
            <w:r>
              <w:rPr>
                <w:sz w:val="24"/>
              </w:rPr>
              <w:t xml:space="preserve">Сумма накоплений для жилищного обеспечения, использованных в отчетном году в порядке реализации права участника, определенного </w:t>
            </w:r>
            <w:hyperlink w:history="0" r:id="rId23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пунктом 1 части 1 статьи 11</w:t>
              </w:r>
            </w:hyperlink>
            <w:r>
              <w:rPr>
                <w:sz w:val="24"/>
              </w:rPr>
              <w:t xml:space="preserve"> Федерального закона "О накопительно-ипотечной системе жилищного обеспечения военнослужащих", - всего</w:t>
            </w:r>
          </w:p>
        </w:tc>
        <w:tc>
          <w:tcPr>
            <w:tcW w:w="1815" w:type="dxa"/>
            <w:tcBorders>
              <w:top w:val="single" w:sz="4"/>
              <w:left w:val="nil"/>
              <w:bottom w:val="nil"/>
              <w:right w:val="nil"/>
            </w:tcBorders>
          </w:tcPr>
          <w:p>
            <w:pPr>
              <w:pStyle w:val="0"/>
              <w:jc w:val="center"/>
            </w:pPr>
            <w:r>
              <w:rPr>
                <w:sz w:val="24"/>
              </w:rPr>
              <w:t xml:space="preserve">100</w:t>
            </w:r>
          </w:p>
        </w:tc>
        <w:tc>
          <w:tcPr>
            <w:tcW w:w="2475" w:type="dxa"/>
            <w:tcBorders>
              <w:top w:val="single" w:sz="4"/>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283"/>
            </w:pPr>
            <w:r>
              <w:rPr>
                <w:sz w:val="24"/>
              </w:rPr>
              <w:t xml:space="preserve">в том числе без закрытия именного накопительного счета участника</w:t>
            </w:r>
          </w:p>
        </w:tc>
        <w:tc>
          <w:tcPr>
            <w:tcW w:w="1815" w:type="dxa"/>
            <w:tcBorders>
              <w:top w:val="nil"/>
              <w:left w:val="nil"/>
              <w:bottom w:val="nil"/>
              <w:right w:val="nil"/>
            </w:tcBorders>
          </w:tcPr>
          <w:p>
            <w:pPr>
              <w:pStyle w:val="0"/>
              <w:jc w:val="center"/>
            </w:pPr>
            <w:r>
              <w:rPr>
                <w:sz w:val="24"/>
              </w:rPr>
              <w:t xml:space="preserve">110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bookmarkStart w:id="477" w:name="P477"/>
          <w:bookmarkEnd w:id="477"/>
          <w:p>
            <w:pPr>
              <w:pStyle w:val="0"/>
            </w:pPr>
            <w:r>
              <w:rPr>
                <w:sz w:val="24"/>
              </w:rPr>
              <w:t xml:space="preserve">Сумма накоплений для жилищного обеспечения, использованных в отчетном году в порядке исполнения договоров целевых жилищных займов</w:t>
            </w:r>
          </w:p>
        </w:tc>
        <w:tc>
          <w:tcPr>
            <w:tcW w:w="1815" w:type="dxa"/>
            <w:tcBorders>
              <w:top w:val="nil"/>
              <w:left w:val="nil"/>
              <w:bottom w:val="nil"/>
              <w:right w:val="nil"/>
            </w:tcBorders>
          </w:tcPr>
          <w:p>
            <w:pPr>
              <w:pStyle w:val="0"/>
              <w:jc w:val="center"/>
            </w:pPr>
            <w:r>
              <w:rPr>
                <w:sz w:val="24"/>
              </w:rPr>
              <w:t xml:space="preserve">200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single" w:sz="4"/>
              <w:right w:val="nil"/>
            </w:tcBorders>
          </w:tcPr>
          <w:p>
            <w:pPr>
              <w:pStyle w:val="0"/>
            </w:pPr>
            <w:r>
              <w:rPr>
                <w:sz w:val="24"/>
              </w:rPr>
              <w:t xml:space="preserve">Сумма накоплений для жилищного обеспечения, использованных в отчетном году (код </w:t>
            </w:r>
            <w:hyperlink w:history="0" w:anchor="P471" w:tooltip="Сумма накоплений для жилищного обеспечения, использованных в отчетном году в порядке реализации права участника, определенного пунктом 1 части 1 статьи 11 Федерального закона &quot;О накопительно-ипотечной системе жилищного обеспечения военнослужащих&quot;, - всего">
              <w:r>
                <w:rPr>
                  <w:sz w:val="24"/>
                  <w:color w:val="0000ff"/>
                </w:rPr>
                <w:t xml:space="preserve">строки 100</w:t>
              </w:r>
            </w:hyperlink>
            <w:r>
              <w:rPr>
                <w:sz w:val="24"/>
              </w:rPr>
              <w:t xml:space="preserve"> + </w:t>
            </w:r>
            <w:hyperlink w:history="0" w:anchor="P477" w:tooltip="Сумма накоплений для жилищного обеспечения, использованных в отчетном году в порядке исполнения договоров целевых жилищных займов">
              <w:r>
                <w:rPr>
                  <w:sz w:val="24"/>
                  <w:color w:val="0000ff"/>
                </w:rPr>
                <w:t xml:space="preserve">200</w:t>
              </w:r>
            </w:hyperlink>
            <w:r>
              <w:rPr>
                <w:sz w:val="24"/>
              </w:rPr>
              <w:t xml:space="preserve">)</w:t>
            </w:r>
          </w:p>
        </w:tc>
        <w:tc>
          <w:tcPr>
            <w:tcW w:w="1815" w:type="dxa"/>
            <w:tcBorders>
              <w:top w:val="nil"/>
              <w:left w:val="nil"/>
              <w:bottom w:val="single" w:sz="4"/>
              <w:right w:val="nil"/>
            </w:tcBorders>
          </w:tcPr>
          <w:p>
            <w:pPr>
              <w:pStyle w:val="0"/>
              <w:jc w:val="center"/>
            </w:pPr>
            <w:r>
              <w:rPr>
                <w:sz w:val="24"/>
              </w:rPr>
              <w:t xml:space="preserve">300</w:t>
            </w:r>
          </w:p>
        </w:tc>
        <w:tc>
          <w:tcPr>
            <w:tcW w:w="2475"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outlineLvl w:val="2"/>
        <w:jc w:val="right"/>
      </w:pPr>
      <w:r>
        <w:rPr>
          <w:sz w:val="24"/>
        </w:rPr>
        <w:t xml:space="preserve">Таблица 2</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706"/>
        <w:gridCol w:w="964"/>
        <w:gridCol w:w="1020"/>
      </w:tblGrid>
      <w:tr>
        <w:tblPrEx>
          <w:tblBorders>
            <w:right w:val="single" w:sz="4"/>
            <w:insideV w:val="single" w:sz="4"/>
            <w:insideH w:val="single" w:sz="4"/>
          </w:tblBorders>
        </w:tblPrEx>
        <w:tc>
          <w:tcPr>
            <w:tcW w:w="4706" w:type="dxa"/>
            <w:tcBorders>
              <w:top w:val="single" w:sz="4"/>
              <w:left w:val="nil"/>
              <w:bottom w:val="single" w:sz="4"/>
            </w:tcBorders>
          </w:tcPr>
          <w:p>
            <w:pPr>
              <w:pStyle w:val="0"/>
              <w:jc w:val="center"/>
            </w:pPr>
            <w:r>
              <w:rPr>
                <w:sz w:val="24"/>
              </w:rPr>
              <w:t xml:space="preserve">Наименование показателя</w:t>
            </w:r>
          </w:p>
        </w:tc>
        <w:tc>
          <w:tcPr>
            <w:tcW w:w="964" w:type="dxa"/>
            <w:tcBorders>
              <w:top w:val="single" w:sz="4"/>
              <w:bottom w:val="single" w:sz="4"/>
            </w:tcBorders>
          </w:tcPr>
          <w:p>
            <w:pPr>
              <w:pStyle w:val="0"/>
              <w:jc w:val="center"/>
            </w:pPr>
            <w:r>
              <w:rPr>
                <w:sz w:val="24"/>
              </w:rPr>
              <w:t xml:space="preserve">Код строки</w:t>
            </w:r>
          </w:p>
        </w:tc>
        <w:tc>
          <w:tcPr>
            <w:tcW w:w="1020" w:type="dxa"/>
            <w:tcBorders>
              <w:top w:val="single" w:sz="4"/>
              <w:bottom w:val="single" w:sz="4"/>
            </w:tcBorders>
          </w:tcPr>
          <w:p>
            <w:pPr>
              <w:pStyle w:val="0"/>
              <w:jc w:val="center"/>
            </w:pPr>
            <w:r>
              <w:rPr>
                <w:sz w:val="24"/>
              </w:rPr>
              <w:t xml:space="preserve">Количество человек</w:t>
            </w:r>
          </w:p>
        </w:tc>
      </w:tr>
      <w:tr>
        <w:tc>
          <w:tcPr>
            <w:tcW w:w="4706" w:type="dxa"/>
            <w:tcBorders>
              <w:top w:val="single" w:sz="4"/>
              <w:left w:val="nil"/>
              <w:bottom w:val="nil"/>
              <w:right w:val="nil"/>
            </w:tcBorders>
          </w:tcPr>
          <w:bookmarkStart w:id="489" w:name="P489"/>
          <w:bookmarkEnd w:id="489"/>
          <w:p>
            <w:pPr>
              <w:pStyle w:val="0"/>
            </w:pPr>
            <w:r>
              <w:rPr>
                <w:sz w:val="24"/>
              </w:rPr>
              <w:t xml:space="preserve">Количество участников накопительно-ипотечной системы, использовавших накопления для жилищного обеспечения в отчетном году в порядке реализации прав участников, предусмотренном </w:t>
            </w:r>
            <w:hyperlink w:history="0" r:id="rId23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пунктом 1 части 1 статьи 4</w:t>
              </w:r>
            </w:hyperlink>
            <w:r>
              <w:rPr>
                <w:sz w:val="24"/>
              </w:rPr>
              <w:t xml:space="preserve"> Федерального закона "О накопительно-ипотечной системе жилищного обеспечения военнослужащих", - всего</w:t>
            </w:r>
          </w:p>
        </w:tc>
        <w:tc>
          <w:tcPr>
            <w:tcW w:w="964" w:type="dxa"/>
            <w:tcBorders>
              <w:top w:val="single" w:sz="4"/>
              <w:left w:val="nil"/>
              <w:bottom w:val="nil"/>
              <w:right w:val="nil"/>
            </w:tcBorders>
          </w:tcPr>
          <w:p>
            <w:pPr>
              <w:pStyle w:val="0"/>
              <w:jc w:val="center"/>
            </w:pPr>
            <w:r>
              <w:rPr>
                <w:sz w:val="24"/>
              </w:rPr>
              <w:t xml:space="preserve">100</w:t>
            </w:r>
          </w:p>
        </w:tc>
        <w:tc>
          <w:tcPr>
            <w:tcW w:w="1020" w:type="dxa"/>
            <w:tcBorders>
              <w:top w:val="single" w:sz="4"/>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283"/>
            </w:pPr>
            <w:r>
              <w:rPr>
                <w:sz w:val="24"/>
              </w:rPr>
              <w:t xml:space="preserve">в том числе без закрытия именного накопительного счета участника</w:t>
            </w:r>
          </w:p>
        </w:tc>
        <w:tc>
          <w:tcPr>
            <w:tcW w:w="964" w:type="dxa"/>
            <w:tcBorders>
              <w:top w:val="nil"/>
              <w:left w:val="nil"/>
              <w:bottom w:val="nil"/>
              <w:right w:val="nil"/>
            </w:tcBorders>
          </w:tcPr>
          <w:p>
            <w:pPr>
              <w:pStyle w:val="0"/>
              <w:jc w:val="center"/>
            </w:pPr>
            <w:r>
              <w:rPr>
                <w:sz w:val="24"/>
              </w:rPr>
              <w:t xml:space="preserve">110</w:t>
            </w:r>
          </w:p>
        </w:tc>
        <w:tc>
          <w:tcPr>
            <w:tcW w:w="1020"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bookmarkStart w:id="495" w:name="P495"/>
          <w:bookmarkEnd w:id="495"/>
          <w:p>
            <w:pPr>
              <w:pStyle w:val="0"/>
            </w:pPr>
            <w:r>
              <w:rPr>
                <w:sz w:val="24"/>
              </w:rPr>
              <w:t xml:space="preserve">Количество участников накопительно-ипотечной системы, использовавших накопления в порядке исполнения договоров целевых жилищных займов</w:t>
            </w:r>
          </w:p>
        </w:tc>
        <w:tc>
          <w:tcPr>
            <w:tcW w:w="964" w:type="dxa"/>
            <w:tcBorders>
              <w:top w:val="nil"/>
              <w:left w:val="nil"/>
              <w:bottom w:val="nil"/>
              <w:right w:val="nil"/>
            </w:tcBorders>
          </w:tcPr>
          <w:p>
            <w:pPr>
              <w:pStyle w:val="0"/>
              <w:jc w:val="center"/>
            </w:pPr>
            <w:r>
              <w:rPr>
                <w:sz w:val="24"/>
              </w:rPr>
              <w:t xml:space="preserve">200</w:t>
            </w:r>
          </w:p>
        </w:tc>
        <w:tc>
          <w:tcPr>
            <w:tcW w:w="1020"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pPr>
            <w:r>
              <w:rPr>
                <w:sz w:val="24"/>
              </w:rPr>
              <w:t xml:space="preserve">Количество участников накопительно-ипотечной системы, которым в отчетном году были предоставлены для использования накопления для жилищного обеспечения (код </w:t>
            </w:r>
            <w:hyperlink w:history="0" w:anchor="P489" w:tooltip="Количество участников накопительно-ипотечной системы, использовавших накопления для жилищного обеспечения в отчетном году в порядке реализации прав участников, предусмотренном пунктом 1 части 1 статьи 4 Федерального закона &quot;О накопительно-ипотечной системе жилищного обеспечения военнослужащих&quot;, - всего">
              <w:r>
                <w:rPr>
                  <w:sz w:val="24"/>
                  <w:color w:val="0000ff"/>
                </w:rPr>
                <w:t xml:space="preserve">строки 100</w:t>
              </w:r>
            </w:hyperlink>
            <w:r>
              <w:rPr>
                <w:sz w:val="24"/>
              </w:rPr>
              <w:t xml:space="preserve"> + </w:t>
            </w:r>
            <w:hyperlink w:history="0" w:anchor="P495" w:tooltip="Количество участников накопительно-ипотечной системы, использовавших накопления в порядке исполнения договоров целевых жилищных займов">
              <w:r>
                <w:rPr>
                  <w:sz w:val="24"/>
                  <w:color w:val="0000ff"/>
                </w:rPr>
                <w:t xml:space="preserve">200</w:t>
              </w:r>
            </w:hyperlink>
            <w:r>
              <w:rPr>
                <w:sz w:val="24"/>
              </w:rPr>
              <w:t xml:space="preserve">)</w:t>
            </w:r>
          </w:p>
        </w:tc>
        <w:tc>
          <w:tcPr>
            <w:tcW w:w="964" w:type="dxa"/>
            <w:tcBorders>
              <w:top w:val="nil"/>
              <w:left w:val="nil"/>
              <w:bottom w:val="nil"/>
              <w:right w:val="nil"/>
            </w:tcBorders>
          </w:tcPr>
          <w:p>
            <w:pPr>
              <w:pStyle w:val="0"/>
              <w:jc w:val="center"/>
            </w:pPr>
            <w:r>
              <w:rPr>
                <w:sz w:val="24"/>
              </w:rPr>
              <w:t xml:space="preserve">300</w:t>
            </w:r>
          </w:p>
        </w:tc>
        <w:tc>
          <w:tcPr>
            <w:tcW w:w="1020"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pPr>
            <w:r>
              <w:rPr>
                <w:sz w:val="24"/>
              </w:rPr>
              <w:t xml:space="preserve">Количество участников накопительно-ипотечной системы, с которыми заключены действующие договоры целевого жилищного займа, - всего</w:t>
            </w:r>
          </w:p>
        </w:tc>
        <w:tc>
          <w:tcPr>
            <w:tcW w:w="964" w:type="dxa"/>
            <w:tcBorders>
              <w:top w:val="nil"/>
              <w:left w:val="nil"/>
              <w:bottom w:val="nil"/>
              <w:right w:val="nil"/>
            </w:tcBorders>
          </w:tcPr>
          <w:p>
            <w:pPr>
              <w:pStyle w:val="0"/>
              <w:jc w:val="center"/>
            </w:pPr>
            <w:r>
              <w:rPr>
                <w:sz w:val="24"/>
              </w:rPr>
              <w:t xml:space="preserve">400</w:t>
            </w:r>
          </w:p>
        </w:tc>
        <w:tc>
          <w:tcPr>
            <w:tcW w:w="1020" w:type="dxa"/>
            <w:tcBorders>
              <w:top w:val="nil"/>
              <w:left w:val="nil"/>
              <w:bottom w:val="nil"/>
              <w:right w:val="nil"/>
            </w:tcBorders>
          </w:tcPr>
          <w:p>
            <w:pPr>
              <w:pStyle w:val="0"/>
              <w:jc w:val="both"/>
            </w:pPr>
            <w:r>
              <w:rPr>
                <w:sz w:val="24"/>
              </w:rPr>
            </w:r>
          </w:p>
        </w:tc>
      </w:tr>
      <w:tr>
        <w:tc>
          <w:tcPr>
            <w:tcW w:w="4706" w:type="dxa"/>
            <w:tcBorders>
              <w:top w:val="nil"/>
              <w:left w:val="nil"/>
              <w:bottom w:val="single" w:sz="4"/>
              <w:right w:val="nil"/>
            </w:tcBorders>
          </w:tcPr>
          <w:p>
            <w:pPr>
              <w:pStyle w:val="0"/>
              <w:ind w:left="283"/>
            </w:pPr>
            <w:r>
              <w:rPr>
                <w:sz w:val="24"/>
              </w:rPr>
              <w:t xml:space="preserve">в том числе количество участников накопительно-ипотечной системы, с которыми действующие договоры целевого жилищного займа были заключены в отчетном году</w:t>
            </w:r>
          </w:p>
        </w:tc>
        <w:tc>
          <w:tcPr>
            <w:tcW w:w="964" w:type="dxa"/>
            <w:tcBorders>
              <w:top w:val="nil"/>
              <w:left w:val="nil"/>
              <w:bottom w:val="single" w:sz="4"/>
              <w:right w:val="nil"/>
            </w:tcBorders>
          </w:tcPr>
          <w:p>
            <w:pPr>
              <w:pStyle w:val="0"/>
              <w:jc w:val="center"/>
            </w:pPr>
            <w:r>
              <w:rPr>
                <w:sz w:val="24"/>
              </w:rPr>
              <w:t xml:space="preserve">410</w:t>
            </w:r>
          </w:p>
        </w:tc>
        <w:tc>
          <w:tcPr>
            <w:tcW w:w="1020"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outlineLvl w:val="2"/>
        <w:jc w:val="right"/>
      </w:pPr>
      <w:r>
        <w:rPr>
          <w:sz w:val="24"/>
        </w:rPr>
        <w:t xml:space="preserve">Таблица 3</w:t>
      </w:r>
    </w:p>
    <w:p>
      <w:pPr>
        <w:pStyle w:val="0"/>
        <w:jc w:val="right"/>
      </w:pPr>
      <w:r>
        <w:rPr>
          <w:sz w:val="24"/>
        </w:rPr>
      </w:r>
    </w:p>
    <w:p>
      <w:pPr>
        <w:pStyle w:val="0"/>
        <w:jc w:val="right"/>
      </w:pPr>
      <w:r>
        <w:rPr>
          <w:sz w:val="24"/>
        </w:rPr>
        <w:t xml:space="preserve">(тыс. рублей)</w:t>
      </w:r>
    </w:p>
    <w:p>
      <w:pPr>
        <w:spacing w:before="0"/>
        <w:spacing w:after="1"/>
      </w:pPr>
    </w:p>
    <w:tbl>
      <w:tblPr>
        <w:tblInd w:w="0" w:type="dxa"/>
        <w:tblLayout w:type="fixed"/>
        <w:tblBorders>
          <w:top w:val="single" w:sz="4"/>
          <w:bottom w:val="single" w:sz="4"/>
        </w:tblBorders>
        <w:tblCellMar>
          <w:top w:w="102" w:type="dxa"/>
          <w:left w:w="62" w:type="dxa"/>
          <w:bottom w:w="102" w:type="dxa"/>
          <w:right w:w="62" w:type="dxa"/>
        </w:tblCellMar>
      </w:tblPr>
      <w:tblGrid>
        <w:gridCol w:w="4706"/>
        <w:gridCol w:w="1815"/>
        <w:gridCol w:w="2475"/>
      </w:tblGrid>
      <w:tr>
        <w:tblPrEx>
          <w:tblBorders>
            <w:insideV w:val="single" w:sz="4"/>
            <w:insideH w:val="single" w:sz="4"/>
          </w:tblBorders>
        </w:tblPrEx>
        <w:tc>
          <w:tcPr>
            <w:tcW w:w="4706" w:type="dxa"/>
            <w:tcBorders>
              <w:top w:val="single" w:sz="4"/>
              <w:left w:val="nil"/>
              <w:bottom w:val="single" w:sz="4"/>
            </w:tcBorders>
          </w:tcPr>
          <w:p>
            <w:pPr>
              <w:pStyle w:val="0"/>
              <w:jc w:val="center"/>
            </w:pPr>
            <w:r>
              <w:rPr>
                <w:sz w:val="24"/>
              </w:rPr>
              <w:t xml:space="preserve">Наименование показателя</w:t>
            </w:r>
          </w:p>
        </w:tc>
        <w:tc>
          <w:tcPr>
            <w:tcW w:w="1815" w:type="dxa"/>
            <w:tcBorders>
              <w:top w:val="single" w:sz="4"/>
              <w:bottom w:val="single" w:sz="4"/>
            </w:tcBorders>
          </w:tcPr>
          <w:p>
            <w:pPr>
              <w:pStyle w:val="0"/>
              <w:jc w:val="center"/>
            </w:pPr>
            <w:r>
              <w:rPr>
                <w:sz w:val="24"/>
              </w:rPr>
              <w:t xml:space="preserve">На начало отчетного года</w:t>
            </w:r>
          </w:p>
        </w:tc>
        <w:tc>
          <w:tcPr>
            <w:tcW w:w="2475" w:type="dxa"/>
            <w:tcBorders>
              <w:top w:val="single" w:sz="4"/>
              <w:bottom w:val="single" w:sz="4"/>
              <w:right w:val="nil"/>
            </w:tcBorders>
          </w:tcPr>
          <w:p>
            <w:pPr>
              <w:pStyle w:val="0"/>
              <w:jc w:val="center"/>
            </w:pPr>
            <w:r>
              <w:rPr>
                <w:sz w:val="24"/>
              </w:rPr>
              <w:t xml:space="preserve">На конец отчетного года</w:t>
            </w:r>
          </w:p>
        </w:tc>
      </w:tr>
      <w:tr>
        <w:tc>
          <w:tcPr>
            <w:tcW w:w="4706" w:type="dxa"/>
            <w:tcBorders>
              <w:top w:val="single" w:sz="4"/>
              <w:left w:val="nil"/>
              <w:bottom w:val="nil"/>
              <w:right w:val="nil"/>
            </w:tcBorders>
          </w:tcPr>
          <w:p>
            <w:pPr>
              <w:pStyle w:val="0"/>
            </w:pPr>
            <w:r>
              <w:rPr>
                <w:sz w:val="24"/>
              </w:rPr>
              <w:t xml:space="preserve">Сумма накоплений для жилищного обеспечения, использованных участниками (в том числе бывшими) в соответствии с действующими договорами целевых жилищных займов, - всего</w:t>
            </w:r>
          </w:p>
        </w:tc>
        <w:tc>
          <w:tcPr>
            <w:tcW w:w="1815" w:type="dxa"/>
            <w:tcBorders>
              <w:top w:val="single" w:sz="4"/>
              <w:left w:val="nil"/>
              <w:bottom w:val="nil"/>
              <w:right w:val="nil"/>
            </w:tcBorders>
          </w:tcPr>
          <w:p>
            <w:pPr>
              <w:pStyle w:val="0"/>
              <w:jc w:val="both"/>
            </w:pPr>
            <w:r>
              <w:rPr>
                <w:sz w:val="24"/>
              </w:rPr>
            </w:r>
          </w:p>
        </w:tc>
        <w:tc>
          <w:tcPr>
            <w:tcW w:w="2475" w:type="dxa"/>
            <w:tcBorders>
              <w:top w:val="single" w:sz="4"/>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283"/>
            </w:pPr>
            <w:r>
              <w:rPr>
                <w:sz w:val="24"/>
              </w:rPr>
              <w:t xml:space="preserve">в том числе:</w:t>
            </w:r>
          </w:p>
        </w:tc>
        <w:tc>
          <w:tcPr>
            <w:tcW w:w="1815" w:type="dxa"/>
            <w:tcBorders>
              <w:top w:val="nil"/>
              <w:left w:val="nil"/>
              <w:bottom w:val="nil"/>
              <w:right w:val="nil"/>
            </w:tcBorders>
          </w:tcPr>
          <w:p>
            <w:pPr>
              <w:pStyle w:val="0"/>
              <w:jc w:val="both"/>
            </w:pPr>
            <w:r>
              <w:rPr>
                <w:sz w:val="24"/>
              </w:rPr>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566"/>
            </w:pPr>
            <w:r>
              <w:rPr>
                <w:sz w:val="24"/>
              </w:rPr>
              <w:t xml:space="preserve">учтенных на именных накопительных счетах участников</w:t>
            </w:r>
          </w:p>
        </w:tc>
        <w:tc>
          <w:tcPr>
            <w:tcW w:w="1815" w:type="dxa"/>
            <w:tcBorders>
              <w:top w:val="nil"/>
              <w:left w:val="nil"/>
              <w:bottom w:val="nil"/>
              <w:right w:val="nil"/>
            </w:tcBorders>
          </w:tcPr>
          <w:p>
            <w:pPr>
              <w:pStyle w:val="0"/>
              <w:jc w:val="both"/>
            </w:pPr>
            <w:r>
              <w:rPr>
                <w:sz w:val="24"/>
              </w:rPr>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single" w:sz="4"/>
              <w:right w:val="nil"/>
            </w:tcBorders>
          </w:tcPr>
          <w:p>
            <w:pPr>
              <w:pStyle w:val="0"/>
              <w:ind w:left="566"/>
            </w:pPr>
            <w:r>
              <w:rPr>
                <w:sz w:val="24"/>
              </w:rPr>
              <w:t xml:space="preserve">подлежащих возврату в соответствии с </w:t>
            </w:r>
            <w:hyperlink w:history="0" r:id="rId24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15</w:t>
              </w:r>
            </w:hyperlink>
            <w:r>
              <w:rPr>
                <w:sz w:val="24"/>
              </w:rPr>
              <w:t xml:space="preserve"> Федерального закона "О накопительно-ипотечной системе жилищного обеспечения военнослужащих" после досрочного увольнения участников</w:t>
            </w:r>
          </w:p>
        </w:tc>
        <w:tc>
          <w:tcPr>
            <w:tcW w:w="1815" w:type="dxa"/>
            <w:tcBorders>
              <w:top w:val="nil"/>
              <w:left w:val="nil"/>
              <w:bottom w:val="single" w:sz="4"/>
              <w:right w:val="nil"/>
            </w:tcBorders>
          </w:tcPr>
          <w:p>
            <w:pPr>
              <w:pStyle w:val="0"/>
              <w:jc w:val="both"/>
            </w:pPr>
            <w:r>
              <w:rPr>
                <w:sz w:val="24"/>
              </w:rPr>
            </w:r>
          </w:p>
        </w:tc>
        <w:tc>
          <w:tcPr>
            <w:tcW w:w="2475" w:type="dxa"/>
            <w:tcBorders>
              <w:top w:val="nil"/>
              <w:left w:val="nil"/>
              <w:bottom w:val="single" w:sz="4"/>
              <w:right w:val="nil"/>
            </w:tcBorders>
          </w:tcPr>
          <w:p>
            <w:pPr>
              <w:pStyle w:val="0"/>
              <w:jc w:val="both"/>
            </w:pPr>
            <w:r>
              <w:rPr>
                <w:sz w:val="24"/>
              </w:rPr>
            </w:r>
          </w:p>
        </w:tc>
      </w:tr>
    </w:tbl>
    <w:p>
      <w:pPr>
        <w:pStyle w:val="0"/>
        <w:ind w:firstLine="540"/>
        <w:jc w:val="both"/>
      </w:pPr>
      <w:r>
        <w:rPr>
          <w:sz w:val="24"/>
        </w:rPr>
      </w:r>
    </w:p>
    <w:p>
      <w:pPr>
        <w:pStyle w:val="0"/>
        <w:outlineLvl w:val="2"/>
        <w:jc w:val="right"/>
      </w:pPr>
      <w:r>
        <w:rPr>
          <w:sz w:val="24"/>
        </w:rPr>
        <w:t xml:space="preserve">Таблица 4</w:t>
      </w:r>
    </w:p>
    <w:p>
      <w:pPr>
        <w:pStyle w:val="0"/>
        <w:jc w:val="right"/>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706"/>
        <w:gridCol w:w="1815"/>
        <w:gridCol w:w="2475"/>
      </w:tblGrid>
      <w:tr>
        <w:tblPrEx>
          <w:tblBorders>
            <w:insideV w:val="single" w:sz="4"/>
            <w:insideH w:val="single" w:sz="4"/>
          </w:tblBorders>
        </w:tblPrEx>
        <w:tc>
          <w:tcPr>
            <w:tcW w:w="4706" w:type="dxa"/>
            <w:tcBorders>
              <w:top w:val="single" w:sz="4"/>
              <w:left w:val="nil"/>
              <w:bottom w:val="single" w:sz="4"/>
            </w:tcBorders>
          </w:tcPr>
          <w:p>
            <w:pPr>
              <w:pStyle w:val="0"/>
              <w:jc w:val="center"/>
            </w:pPr>
            <w:r>
              <w:rPr>
                <w:sz w:val="24"/>
              </w:rPr>
              <w:t xml:space="preserve">Наименование показателя</w:t>
            </w:r>
          </w:p>
        </w:tc>
        <w:tc>
          <w:tcPr>
            <w:tcW w:w="1815" w:type="dxa"/>
            <w:tcBorders>
              <w:top w:val="single" w:sz="4"/>
              <w:bottom w:val="single" w:sz="4"/>
            </w:tcBorders>
          </w:tcPr>
          <w:p>
            <w:pPr>
              <w:pStyle w:val="0"/>
              <w:jc w:val="center"/>
            </w:pPr>
            <w:r>
              <w:rPr>
                <w:sz w:val="24"/>
              </w:rPr>
              <w:t xml:space="preserve">Код строки</w:t>
            </w:r>
          </w:p>
        </w:tc>
        <w:tc>
          <w:tcPr>
            <w:tcW w:w="2475" w:type="dxa"/>
            <w:tcBorders>
              <w:top w:val="single" w:sz="4"/>
              <w:bottom w:val="single" w:sz="4"/>
              <w:right w:val="nil"/>
            </w:tcBorders>
          </w:tcPr>
          <w:p>
            <w:pPr>
              <w:pStyle w:val="0"/>
              <w:jc w:val="center"/>
            </w:pPr>
            <w:r>
              <w:rPr>
                <w:sz w:val="24"/>
              </w:rPr>
              <w:t xml:space="preserve">Тыс. рублей</w:t>
            </w:r>
          </w:p>
        </w:tc>
      </w:tr>
      <w:tr>
        <w:tc>
          <w:tcPr>
            <w:tcW w:w="4706" w:type="dxa"/>
            <w:tcBorders>
              <w:top w:val="single" w:sz="4"/>
              <w:left w:val="nil"/>
              <w:bottom w:val="nil"/>
              <w:right w:val="nil"/>
            </w:tcBorders>
          </w:tcPr>
          <w:bookmarkStart w:id="532" w:name="P532"/>
          <w:bookmarkEnd w:id="532"/>
          <w:p>
            <w:pPr>
              <w:pStyle w:val="0"/>
            </w:pPr>
            <w:r>
              <w:rPr>
                <w:sz w:val="24"/>
              </w:rPr>
              <w:t xml:space="preserve">Сумма накоплений для жилищного обеспечения, использованных в отчетном году в порядке исполнения договоров целевых жилищных займов, - всего</w:t>
            </w:r>
          </w:p>
        </w:tc>
        <w:tc>
          <w:tcPr>
            <w:tcW w:w="1815" w:type="dxa"/>
            <w:tcBorders>
              <w:top w:val="single" w:sz="4"/>
              <w:left w:val="nil"/>
              <w:bottom w:val="nil"/>
              <w:right w:val="nil"/>
            </w:tcBorders>
          </w:tcPr>
          <w:p>
            <w:pPr>
              <w:pStyle w:val="0"/>
              <w:jc w:val="center"/>
            </w:pPr>
            <w:r>
              <w:rPr>
                <w:sz w:val="24"/>
              </w:rPr>
              <w:t xml:space="preserve">100</w:t>
            </w:r>
          </w:p>
        </w:tc>
        <w:tc>
          <w:tcPr>
            <w:tcW w:w="2475" w:type="dxa"/>
            <w:tcBorders>
              <w:top w:val="single" w:sz="4"/>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283"/>
            </w:pPr>
            <w:r>
              <w:rPr>
                <w:sz w:val="24"/>
              </w:rPr>
              <w:t xml:space="preserve">в том числе:</w:t>
            </w:r>
          </w:p>
        </w:tc>
        <w:tc>
          <w:tcPr>
            <w:tcW w:w="1815" w:type="dxa"/>
            <w:tcBorders>
              <w:top w:val="nil"/>
              <w:left w:val="nil"/>
              <w:bottom w:val="nil"/>
              <w:right w:val="nil"/>
            </w:tcBorders>
          </w:tcPr>
          <w:p>
            <w:pPr>
              <w:pStyle w:val="0"/>
              <w:jc w:val="both"/>
            </w:pPr>
            <w:r>
              <w:rPr>
                <w:sz w:val="24"/>
              </w:rPr>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566"/>
            </w:pPr>
            <w:r>
              <w:rPr>
                <w:sz w:val="24"/>
              </w:rPr>
              <w:t xml:space="preserve">для приобретения жилого помещения без использования ипотечного кредита (займа)</w:t>
            </w:r>
          </w:p>
        </w:tc>
        <w:tc>
          <w:tcPr>
            <w:tcW w:w="1815" w:type="dxa"/>
            <w:tcBorders>
              <w:top w:val="nil"/>
              <w:left w:val="nil"/>
              <w:bottom w:val="nil"/>
              <w:right w:val="nil"/>
            </w:tcBorders>
          </w:tcPr>
          <w:p>
            <w:pPr>
              <w:pStyle w:val="0"/>
              <w:jc w:val="center"/>
            </w:pPr>
            <w:r>
              <w:rPr>
                <w:sz w:val="24"/>
              </w:rPr>
              <w:t xml:space="preserve">110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566"/>
            </w:pPr>
            <w:r>
              <w:rPr>
                <w:sz w:val="24"/>
              </w:rPr>
              <w:t xml:space="preserve">для уплаты первоначального взноса при приобретении жилого помещения с использованием ипотечного кредита (займа) и погашения обязательств по этому ипотечному кредиту (займу)</w:t>
            </w:r>
          </w:p>
        </w:tc>
        <w:tc>
          <w:tcPr>
            <w:tcW w:w="1815" w:type="dxa"/>
            <w:tcBorders>
              <w:top w:val="nil"/>
              <w:left w:val="nil"/>
              <w:bottom w:val="nil"/>
              <w:right w:val="nil"/>
            </w:tcBorders>
          </w:tcPr>
          <w:p>
            <w:pPr>
              <w:pStyle w:val="0"/>
              <w:jc w:val="center"/>
            </w:pPr>
            <w:r>
              <w:rPr>
                <w:sz w:val="24"/>
              </w:rPr>
              <w:t xml:space="preserve">120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bookmarkStart w:id="544" w:name="P544"/>
          <w:bookmarkEnd w:id="544"/>
          <w:p>
            <w:pPr>
              <w:pStyle w:val="0"/>
            </w:pPr>
            <w:r>
              <w:rPr>
                <w:sz w:val="24"/>
              </w:rPr>
              <w:t xml:space="preserve">Сумма накоплений для жилищного обеспечения, возвращенная участниками в отчетном году, по целевым жилищным займам - всего</w:t>
            </w:r>
          </w:p>
        </w:tc>
        <w:tc>
          <w:tcPr>
            <w:tcW w:w="1815" w:type="dxa"/>
            <w:tcBorders>
              <w:top w:val="nil"/>
              <w:left w:val="nil"/>
              <w:bottom w:val="nil"/>
              <w:right w:val="nil"/>
            </w:tcBorders>
          </w:tcPr>
          <w:p>
            <w:pPr>
              <w:pStyle w:val="0"/>
              <w:jc w:val="center"/>
            </w:pPr>
            <w:r>
              <w:rPr>
                <w:sz w:val="24"/>
              </w:rPr>
              <w:t xml:space="preserve">200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283"/>
            </w:pPr>
            <w:r>
              <w:rPr>
                <w:sz w:val="24"/>
              </w:rPr>
              <w:t xml:space="preserve">в том числе:</w:t>
            </w:r>
          </w:p>
        </w:tc>
        <w:tc>
          <w:tcPr>
            <w:tcW w:w="1815" w:type="dxa"/>
            <w:tcBorders>
              <w:top w:val="nil"/>
              <w:left w:val="nil"/>
              <w:bottom w:val="nil"/>
              <w:right w:val="nil"/>
            </w:tcBorders>
          </w:tcPr>
          <w:p>
            <w:pPr>
              <w:pStyle w:val="0"/>
              <w:jc w:val="both"/>
            </w:pPr>
            <w:r>
              <w:rPr>
                <w:sz w:val="24"/>
              </w:rPr>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566"/>
            </w:pPr>
            <w:r>
              <w:rPr>
                <w:sz w:val="24"/>
              </w:rPr>
              <w:t xml:space="preserve">задолженность, образовавшаяся после погашения целевых жилищных займов, в соответствии с </w:t>
            </w:r>
            <w:hyperlink w:history="0" r:id="rId24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1 статьи 15</w:t>
              </w:r>
            </w:hyperlink>
            <w:r>
              <w:rPr>
                <w:sz w:val="24"/>
              </w:rPr>
              <w:t xml:space="preserve"> Федерального закона "О накопительно-ипотечной системе жилищного обеспечения военнослужащих"</w:t>
            </w:r>
          </w:p>
        </w:tc>
        <w:tc>
          <w:tcPr>
            <w:tcW w:w="1815" w:type="dxa"/>
            <w:tcBorders>
              <w:top w:val="nil"/>
              <w:left w:val="nil"/>
              <w:bottom w:val="nil"/>
              <w:right w:val="nil"/>
            </w:tcBorders>
          </w:tcPr>
          <w:p>
            <w:pPr>
              <w:pStyle w:val="0"/>
              <w:jc w:val="center"/>
            </w:pPr>
            <w:r>
              <w:rPr>
                <w:sz w:val="24"/>
              </w:rPr>
              <w:t xml:space="preserve">210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566"/>
            </w:pPr>
            <w:r>
              <w:rPr>
                <w:sz w:val="24"/>
              </w:rPr>
              <w:t xml:space="preserve">в соответствии с </w:t>
            </w:r>
            <w:hyperlink w:history="0" r:id="rId242"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2 статьи 15</w:t>
              </w:r>
            </w:hyperlink>
            <w:r>
              <w:rPr>
                <w:sz w:val="24"/>
              </w:rPr>
              <w:t xml:space="preserve"> Федерального закона "О накопительно-ипотечной системе жилищного обеспечения военнослужащих" в погашение задолженности по ранее полученным целевым жилищным займам (без учета процентов по займу)</w:t>
            </w:r>
          </w:p>
        </w:tc>
        <w:tc>
          <w:tcPr>
            <w:tcW w:w="1815" w:type="dxa"/>
            <w:tcBorders>
              <w:top w:val="nil"/>
              <w:left w:val="nil"/>
              <w:bottom w:val="nil"/>
              <w:right w:val="nil"/>
            </w:tcBorders>
          </w:tcPr>
          <w:p>
            <w:pPr>
              <w:pStyle w:val="0"/>
              <w:jc w:val="center"/>
            </w:pPr>
            <w:r>
              <w:rPr>
                <w:sz w:val="24"/>
              </w:rPr>
              <w:t xml:space="preserve">220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nil"/>
              <w:right w:val="nil"/>
            </w:tcBorders>
          </w:tcPr>
          <w:p>
            <w:pPr>
              <w:pStyle w:val="0"/>
              <w:ind w:left="566"/>
            </w:pPr>
            <w:r>
              <w:rPr>
                <w:sz w:val="24"/>
              </w:rPr>
              <w:t xml:space="preserve">в соответствии с </w:t>
            </w:r>
            <w:hyperlink w:history="0" r:id="rId24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3 статьи 15</w:t>
              </w:r>
            </w:hyperlink>
            <w:r>
              <w:rPr>
                <w:sz w:val="24"/>
              </w:rPr>
              <w:t xml:space="preserve"> Федерального закона "О накопительно-ипотечной системе жилищного обеспечения военнослужащих" в погашение целевого жилищного займа участниками досрочно</w:t>
            </w:r>
          </w:p>
        </w:tc>
        <w:tc>
          <w:tcPr>
            <w:tcW w:w="1815" w:type="dxa"/>
            <w:tcBorders>
              <w:top w:val="nil"/>
              <w:left w:val="nil"/>
              <w:bottom w:val="nil"/>
              <w:right w:val="nil"/>
            </w:tcBorders>
          </w:tcPr>
          <w:p>
            <w:pPr>
              <w:pStyle w:val="0"/>
              <w:jc w:val="center"/>
            </w:pPr>
            <w:r>
              <w:rPr>
                <w:sz w:val="24"/>
              </w:rPr>
              <w:t xml:space="preserve">230</w:t>
            </w:r>
          </w:p>
        </w:tc>
        <w:tc>
          <w:tcPr>
            <w:tcW w:w="2475" w:type="dxa"/>
            <w:tcBorders>
              <w:top w:val="nil"/>
              <w:left w:val="nil"/>
              <w:bottom w:val="nil"/>
              <w:right w:val="nil"/>
            </w:tcBorders>
          </w:tcPr>
          <w:p>
            <w:pPr>
              <w:pStyle w:val="0"/>
              <w:jc w:val="both"/>
            </w:pPr>
            <w:r>
              <w:rPr>
                <w:sz w:val="24"/>
              </w:rPr>
            </w:r>
          </w:p>
        </w:tc>
      </w:tr>
      <w:tr>
        <w:tc>
          <w:tcPr>
            <w:tcW w:w="4706" w:type="dxa"/>
            <w:tcBorders>
              <w:top w:val="nil"/>
              <w:left w:val="nil"/>
              <w:bottom w:val="single" w:sz="4"/>
              <w:right w:val="nil"/>
            </w:tcBorders>
          </w:tcPr>
          <w:p>
            <w:pPr>
              <w:pStyle w:val="0"/>
            </w:pPr>
            <w:r>
              <w:rPr>
                <w:sz w:val="24"/>
              </w:rPr>
              <w:t xml:space="preserve">Изменение суммы накоплений для жилищного обеспечения, использованных по целевым жилищным займам в отчетном году (код </w:t>
            </w:r>
            <w:hyperlink w:history="0" w:anchor="P532" w:tooltip="Сумма накоплений для жилищного обеспечения, использованных в отчетном году в порядке исполнения договоров целевых жилищных займов, - всего">
              <w:r>
                <w:rPr>
                  <w:sz w:val="24"/>
                  <w:color w:val="0000ff"/>
                </w:rPr>
                <w:t xml:space="preserve">строки 100</w:t>
              </w:r>
            </w:hyperlink>
            <w:r>
              <w:rPr>
                <w:sz w:val="24"/>
              </w:rPr>
              <w:t xml:space="preserve"> - </w:t>
            </w:r>
            <w:hyperlink w:history="0" w:anchor="P544" w:tooltip="Сумма накоплений для жилищного обеспечения, возвращенная участниками в отчетном году, по целевым жилищным займам - всего">
              <w:r>
                <w:rPr>
                  <w:sz w:val="24"/>
                  <w:color w:val="0000ff"/>
                </w:rPr>
                <w:t xml:space="preserve">200</w:t>
              </w:r>
            </w:hyperlink>
            <w:r>
              <w:rPr>
                <w:sz w:val="24"/>
              </w:rPr>
              <w:t xml:space="preserve">)</w:t>
            </w:r>
          </w:p>
        </w:tc>
        <w:tc>
          <w:tcPr>
            <w:tcW w:w="1815" w:type="dxa"/>
            <w:tcBorders>
              <w:top w:val="nil"/>
              <w:left w:val="nil"/>
              <w:bottom w:val="single" w:sz="4"/>
              <w:right w:val="nil"/>
            </w:tcBorders>
          </w:tcPr>
          <w:p>
            <w:pPr>
              <w:pStyle w:val="0"/>
              <w:jc w:val="center"/>
            </w:pPr>
            <w:r>
              <w:rPr>
                <w:sz w:val="24"/>
              </w:rPr>
              <w:t xml:space="preserve">300</w:t>
            </w:r>
          </w:p>
        </w:tc>
        <w:tc>
          <w:tcPr>
            <w:tcW w:w="2475"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3</w:t>
      </w:r>
    </w:p>
    <w:p>
      <w:pPr>
        <w:pStyle w:val="0"/>
        <w:jc w:val="right"/>
      </w:pPr>
      <w:r>
        <w:rPr>
          <w:sz w:val="24"/>
        </w:rPr>
        <w:t xml:space="preserve">к Правилам раскрытия информации</w:t>
      </w:r>
    </w:p>
    <w:p>
      <w:pPr>
        <w:pStyle w:val="0"/>
        <w:jc w:val="right"/>
      </w:pPr>
      <w:r>
        <w:rPr>
          <w:sz w:val="24"/>
        </w:rPr>
        <w:t xml:space="preserve">о формировании, об инвестировании</w:t>
      </w:r>
    </w:p>
    <w:p>
      <w:pPr>
        <w:pStyle w:val="0"/>
        <w:jc w:val="right"/>
      </w:pPr>
      <w:r>
        <w:rPr>
          <w:sz w:val="24"/>
        </w:rPr>
        <w:t xml:space="preserve">и использовании накоплений</w:t>
      </w:r>
    </w:p>
    <w:p>
      <w:pPr>
        <w:pStyle w:val="0"/>
        <w:jc w:val="right"/>
      </w:pPr>
      <w:r>
        <w:rPr>
          <w:sz w:val="24"/>
        </w:rPr>
        <w:t xml:space="preserve">для жилищного обеспечения</w:t>
      </w:r>
    </w:p>
    <w:p>
      <w:pPr>
        <w:pStyle w:val="0"/>
        <w:jc w:val="right"/>
      </w:pPr>
      <w:r>
        <w:rPr>
          <w:sz w:val="24"/>
        </w:rPr>
        <w:t xml:space="preserve">военнослужащих</w:t>
      </w:r>
    </w:p>
    <w:p>
      <w:pPr>
        <w:pStyle w:val="0"/>
        <w:jc w:val="both"/>
      </w:pPr>
      <w:r>
        <w:rPr>
          <w:sz w:val="24"/>
        </w:rPr>
      </w:r>
    </w:p>
    <w:bookmarkStart w:id="574" w:name="P574"/>
    <w:bookmarkEnd w:id="574"/>
    <w:p>
      <w:pPr>
        <w:pStyle w:val="0"/>
        <w:jc w:val="center"/>
      </w:pPr>
      <w:r>
        <w:rPr>
          <w:sz w:val="24"/>
        </w:rPr>
        <w:t xml:space="preserve">СВЕДЕНИЯ</w:t>
      </w:r>
    </w:p>
    <w:p>
      <w:pPr>
        <w:pStyle w:val="0"/>
        <w:jc w:val="center"/>
      </w:pPr>
      <w:r>
        <w:rPr>
          <w:sz w:val="24"/>
        </w:rPr>
        <w:t xml:space="preserve">ОБ ИЗМЕНЕНИИ РЫНОЧНОЙ СТОИМОСТИ АКТИВОВ СОВОКУПНОГО</w:t>
      </w:r>
    </w:p>
    <w:p>
      <w:pPr>
        <w:pStyle w:val="0"/>
        <w:jc w:val="center"/>
      </w:pPr>
      <w:r>
        <w:rPr>
          <w:sz w:val="24"/>
        </w:rPr>
        <w:t xml:space="preserve">ИНВЕСТИЦИОННОГО ПОРТФЕЛЯ ЗА 20__ Г.</w:t>
      </w:r>
    </w:p>
    <w:p>
      <w:pPr>
        <w:pStyle w:val="0"/>
        <w:ind w:firstLine="540"/>
        <w:jc w:val="both"/>
      </w:pPr>
      <w:r>
        <w:rPr>
          <w:sz w:val="24"/>
        </w:rPr>
      </w:r>
    </w:p>
    <w:p>
      <w:pPr>
        <w:pStyle w:val="0"/>
        <w:outlineLvl w:val="2"/>
        <w:jc w:val="right"/>
      </w:pPr>
      <w:r>
        <w:rPr>
          <w:sz w:val="24"/>
        </w:rPr>
        <w:t xml:space="preserve">Таблица 1</w:t>
      </w:r>
    </w:p>
    <w:p>
      <w:pPr>
        <w:pStyle w:val="0"/>
        <w:jc w:val="right"/>
      </w:pPr>
      <w:r>
        <w:rPr>
          <w:sz w:val="24"/>
        </w:rPr>
      </w:r>
    </w:p>
    <w:p>
      <w:pPr>
        <w:pStyle w:val="0"/>
        <w:jc w:val="right"/>
      </w:pPr>
      <w:r>
        <w:rPr>
          <w:sz w:val="24"/>
        </w:rPr>
        <w:t xml:space="preserve">(тыс. рублей)</w:t>
      </w:r>
    </w:p>
    <w:p>
      <w:pPr>
        <w:spacing w:before="0"/>
        <w:spacing w:after="1"/>
      </w:pPr>
    </w:p>
    <w:tbl>
      <w:tblPr>
        <w:tblInd w:w="0" w:type="dxa"/>
        <w:tblLayout w:type="fixed"/>
        <w:tblBorders>
          <w:top w:val="single" w:sz="4"/>
          <w:bottom w:val="single" w:sz="4"/>
          <w:insideH w:val="single" w:sz="4"/>
        </w:tblBorders>
        <w:tblCellMar>
          <w:top w:w="102" w:type="dxa"/>
          <w:left w:w="62" w:type="dxa"/>
          <w:bottom w:w="102" w:type="dxa"/>
          <w:right w:w="62" w:type="dxa"/>
        </w:tblCellMar>
      </w:tblPr>
      <w:tblGrid>
        <w:gridCol w:w="4706"/>
        <w:gridCol w:w="1815"/>
        <w:gridCol w:w="2475"/>
      </w:tblGrid>
      <w:tr>
        <w:tblPrEx>
          <w:tblBorders>
            <w:insideV w:val="single" w:sz="4"/>
          </w:tblBorders>
        </w:tblPrEx>
        <w:tc>
          <w:tcPr>
            <w:tcW w:w="4706" w:type="dxa"/>
            <w:tcBorders>
              <w:left w:val="nil"/>
            </w:tcBorders>
          </w:tcPr>
          <w:p>
            <w:pPr>
              <w:pStyle w:val="0"/>
              <w:jc w:val="center"/>
            </w:pPr>
            <w:r>
              <w:rPr>
                <w:sz w:val="24"/>
              </w:rPr>
              <w:t xml:space="preserve">Наименование показателя</w:t>
            </w:r>
          </w:p>
        </w:tc>
        <w:tc>
          <w:tcPr>
            <w:tcW w:w="1815" w:type="dxa"/>
          </w:tcPr>
          <w:p>
            <w:pPr>
              <w:pStyle w:val="0"/>
              <w:jc w:val="center"/>
            </w:pPr>
            <w:r>
              <w:rPr>
                <w:sz w:val="24"/>
              </w:rPr>
              <w:t xml:space="preserve">На начало отчетного года</w:t>
            </w:r>
          </w:p>
        </w:tc>
        <w:tc>
          <w:tcPr>
            <w:tcW w:w="2475" w:type="dxa"/>
            <w:tcBorders>
              <w:right w:val="nil"/>
            </w:tcBorders>
          </w:tcPr>
          <w:p>
            <w:pPr>
              <w:pStyle w:val="0"/>
              <w:jc w:val="center"/>
            </w:pPr>
            <w:r>
              <w:rPr>
                <w:sz w:val="24"/>
              </w:rPr>
              <w:t xml:space="preserve">На конец отчетного года</w:t>
            </w:r>
          </w:p>
        </w:tc>
      </w:tr>
      <w:tr>
        <w:tc>
          <w:tcPr>
            <w:tcW w:w="4706" w:type="dxa"/>
            <w:tcBorders>
              <w:left w:val="nil"/>
              <w:right w:val="nil"/>
            </w:tcBorders>
          </w:tcPr>
          <w:p>
            <w:pPr>
              <w:pStyle w:val="0"/>
            </w:pPr>
            <w:r>
              <w:rPr>
                <w:sz w:val="24"/>
              </w:rPr>
              <w:t xml:space="preserve">Рыночная стоимость активов совокупного инвестиционного портфеля</w:t>
            </w:r>
          </w:p>
        </w:tc>
        <w:tc>
          <w:tcPr>
            <w:tcW w:w="1815" w:type="dxa"/>
            <w:tcBorders>
              <w:left w:val="nil"/>
              <w:right w:val="nil"/>
            </w:tcBorders>
          </w:tcPr>
          <w:p>
            <w:pPr>
              <w:pStyle w:val="0"/>
              <w:jc w:val="both"/>
            </w:pPr>
            <w:r>
              <w:rPr>
                <w:sz w:val="24"/>
              </w:rPr>
            </w:r>
          </w:p>
        </w:tc>
        <w:tc>
          <w:tcPr>
            <w:tcW w:w="2475" w:type="dxa"/>
            <w:tcBorders>
              <w:left w:val="nil"/>
              <w:right w:val="nil"/>
            </w:tcBorders>
          </w:tcPr>
          <w:p>
            <w:pPr>
              <w:pStyle w:val="0"/>
              <w:jc w:val="both"/>
            </w:pPr>
            <w:r>
              <w:rPr>
                <w:sz w:val="24"/>
              </w:rPr>
            </w:r>
          </w:p>
        </w:tc>
      </w:tr>
    </w:tbl>
    <w:p>
      <w:pPr>
        <w:pStyle w:val="0"/>
        <w:jc w:val="both"/>
      </w:pPr>
      <w:r>
        <w:rPr>
          <w:sz w:val="24"/>
        </w:rPr>
      </w:r>
    </w:p>
    <w:p>
      <w:pPr>
        <w:pStyle w:val="0"/>
        <w:outlineLvl w:val="2"/>
        <w:jc w:val="right"/>
      </w:pPr>
      <w:r>
        <w:rPr>
          <w:sz w:val="24"/>
        </w:rPr>
        <w:t xml:space="preserve">Таблица 2</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6520"/>
        <w:gridCol w:w="1155"/>
        <w:gridCol w:w="1320"/>
      </w:tblGrid>
      <w:tr>
        <w:tblPrEx>
          <w:tblBorders>
            <w:insideV w:val="single" w:sz="4"/>
            <w:insideH w:val="single" w:sz="4"/>
          </w:tblBorders>
        </w:tblPrEx>
        <w:tc>
          <w:tcPr>
            <w:tcW w:w="6520" w:type="dxa"/>
            <w:tcBorders>
              <w:top w:val="single" w:sz="4"/>
              <w:left w:val="nil"/>
              <w:bottom w:val="single" w:sz="4"/>
            </w:tcBorders>
          </w:tcPr>
          <w:p>
            <w:pPr>
              <w:pStyle w:val="0"/>
              <w:jc w:val="center"/>
            </w:pPr>
            <w:r>
              <w:rPr>
                <w:sz w:val="24"/>
              </w:rPr>
              <w:t xml:space="preserve">Наименование показателя</w:t>
            </w:r>
          </w:p>
        </w:tc>
        <w:tc>
          <w:tcPr>
            <w:tcW w:w="1155" w:type="dxa"/>
            <w:tcBorders>
              <w:top w:val="single" w:sz="4"/>
              <w:bottom w:val="single" w:sz="4"/>
            </w:tcBorders>
          </w:tcPr>
          <w:p>
            <w:pPr>
              <w:pStyle w:val="0"/>
              <w:jc w:val="center"/>
            </w:pPr>
            <w:r>
              <w:rPr>
                <w:sz w:val="24"/>
              </w:rPr>
              <w:t xml:space="preserve">Код строки</w:t>
            </w:r>
          </w:p>
        </w:tc>
        <w:tc>
          <w:tcPr>
            <w:tcW w:w="1320" w:type="dxa"/>
            <w:tcBorders>
              <w:top w:val="single" w:sz="4"/>
              <w:bottom w:val="single" w:sz="4"/>
              <w:right w:val="nil"/>
            </w:tcBorders>
          </w:tcPr>
          <w:p>
            <w:pPr>
              <w:pStyle w:val="0"/>
              <w:jc w:val="center"/>
            </w:pPr>
            <w:r>
              <w:rPr>
                <w:sz w:val="24"/>
              </w:rPr>
              <w:t xml:space="preserve">Тыс. рублей</w:t>
            </w:r>
          </w:p>
        </w:tc>
      </w:tr>
      <w:tr>
        <w:tc>
          <w:tcPr>
            <w:tcW w:w="6520" w:type="dxa"/>
            <w:tcBorders>
              <w:top w:val="single" w:sz="4"/>
              <w:left w:val="nil"/>
              <w:bottom w:val="nil"/>
              <w:right w:val="nil"/>
            </w:tcBorders>
          </w:tcPr>
          <w:bookmarkStart w:id="593" w:name="P593"/>
          <w:bookmarkEnd w:id="593"/>
          <w:p>
            <w:pPr>
              <w:pStyle w:val="0"/>
            </w:pPr>
            <w:r>
              <w:rPr>
                <w:sz w:val="24"/>
              </w:rPr>
              <w:t xml:space="preserve">Накопления для жилищного обеспечения, переданные в доверительное управление в отчетном году</w:t>
            </w:r>
          </w:p>
        </w:tc>
        <w:tc>
          <w:tcPr>
            <w:tcW w:w="1155" w:type="dxa"/>
            <w:tcBorders>
              <w:top w:val="single" w:sz="4"/>
              <w:left w:val="nil"/>
              <w:bottom w:val="nil"/>
              <w:right w:val="nil"/>
            </w:tcBorders>
          </w:tcPr>
          <w:p>
            <w:pPr>
              <w:pStyle w:val="0"/>
              <w:jc w:val="center"/>
            </w:pPr>
            <w:r>
              <w:rPr>
                <w:sz w:val="24"/>
              </w:rPr>
              <w:t xml:space="preserve">100</w:t>
            </w:r>
          </w:p>
        </w:tc>
        <w:tc>
          <w:tcPr>
            <w:tcW w:w="1320" w:type="dxa"/>
            <w:tcBorders>
              <w:top w:val="single" w:sz="4"/>
              <w:left w:val="nil"/>
              <w:bottom w:val="nil"/>
              <w:right w:val="nil"/>
            </w:tcBorders>
          </w:tcPr>
          <w:p>
            <w:pPr>
              <w:pStyle w:val="0"/>
              <w:jc w:val="both"/>
            </w:pPr>
            <w:r>
              <w:rPr>
                <w:sz w:val="24"/>
              </w:rPr>
            </w:r>
          </w:p>
        </w:tc>
      </w:tr>
      <w:tr>
        <w:tc>
          <w:tcPr>
            <w:tcW w:w="6520" w:type="dxa"/>
            <w:tcBorders>
              <w:top w:val="nil"/>
              <w:left w:val="nil"/>
              <w:bottom w:val="nil"/>
              <w:right w:val="nil"/>
            </w:tcBorders>
          </w:tcPr>
          <w:bookmarkStart w:id="596" w:name="P596"/>
          <w:bookmarkEnd w:id="596"/>
          <w:p>
            <w:pPr>
              <w:pStyle w:val="0"/>
            </w:pPr>
            <w:r>
              <w:rPr>
                <w:sz w:val="24"/>
              </w:rPr>
              <w:t xml:space="preserve">Суммарный доход от инвестирования накоплений для жилищного обеспечения за все кварталы отчетного года (без вычета необходимых расходов и вознаграждения управляющих компаний)</w:t>
            </w:r>
          </w:p>
        </w:tc>
        <w:tc>
          <w:tcPr>
            <w:tcW w:w="1155" w:type="dxa"/>
            <w:tcBorders>
              <w:top w:val="nil"/>
              <w:left w:val="nil"/>
              <w:bottom w:val="nil"/>
              <w:right w:val="nil"/>
            </w:tcBorders>
          </w:tcPr>
          <w:p>
            <w:pPr>
              <w:pStyle w:val="0"/>
              <w:jc w:val="center"/>
            </w:pPr>
            <w:r>
              <w:rPr>
                <w:sz w:val="24"/>
              </w:rPr>
              <w:t xml:space="preserve">200</w:t>
            </w:r>
          </w:p>
        </w:tc>
        <w:tc>
          <w:tcPr>
            <w:tcW w:w="1320" w:type="dxa"/>
            <w:tcBorders>
              <w:top w:val="nil"/>
              <w:left w:val="nil"/>
              <w:bottom w:val="nil"/>
              <w:right w:val="nil"/>
            </w:tcBorders>
          </w:tcPr>
          <w:p>
            <w:pPr>
              <w:pStyle w:val="0"/>
              <w:jc w:val="both"/>
            </w:pPr>
            <w:r>
              <w:rPr>
                <w:sz w:val="24"/>
              </w:rPr>
            </w:r>
          </w:p>
        </w:tc>
      </w:tr>
      <w:tr>
        <w:tc>
          <w:tcPr>
            <w:tcW w:w="6520" w:type="dxa"/>
            <w:tcBorders>
              <w:top w:val="nil"/>
              <w:left w:val="nil"/>
              <w:bottom w:val="nil"/>
              <w:right w:val="nil"/>
            </w:tcBorders>
          </w:tcPr>
          <w:bookmarkStart w:id="599" w:name="P599"/>
          <w:bookmarkEnd w:id="599"/>
          <w:p>
            <w:pPr>
              <w:pStyle w:val="0"/>
            </w:pPr>
            <w:r>
              <w:rPr>
                <w:sz w:val="24"/>
              </w:rPr>
              <w:t xml:space="preserve">Необходимые расходы по инвестированию накоплений для жилищного обеспечения, возмещенные в отчетном году</w:t>
            </w:r>
          </w:p>
        </w:tc>
        <w:tc>
          <w:tcPr>
            <w:tcW w:w="1155" w:type="dxa"/>
            <w:tcBorders>
              <w:top w:val="nil"/>
              <w:left w:val="nil"/>
              <w:bottom w:val="nil"/>
              <w:right w:val="nil"/>
            </w:tcBorders>
          </w:tcPr>
          <w:p>
            <w:pPr>
              <w:pStyle w:val="0"/>
              <w:jc w:val="center"/>
            </w:pPr>
            <w:r>
              <w:rPr>
                <w:sz w:val="24"/>
              </w:rPr>
              <w:t xml:space="preserve">300</w:t>
            </w:r>
          </w:p>
        </w:tc>
        <w:tc>
          <w:tcPr>
            <w:tcW w:w="1320" w:type="dxa"/>
            <w:tcBorders>
              <w:top w:val="nil"/>
              <w:left w:val="nil"/>
              <w:bottom w:val="nil"/>
              <w:right w:val="nil"/>
            </w:tcBorders>
          </w:tcPr>
          <w:p>
            <w:pPr>
              <w:pStyle w:val="0"/>
              <w:jc w:val="both"/>
            </w:pPr>
            <w:r>
              <w:rPr>
                <w:sz w:val="24"/>
              </w:rPr>
            </w:r>
          </w:p>
        </w:tc>
      </w:tr>
      <w:tr>
        <w:tc>
          <w:tcPr>
            <w:tcW w:w="6520" w:type="dxa"/>
            <w:tcBorders>
              <w:top w:val="nil"/>
              <w:left w:val="nil"/>
              <w:bottom w:val="nil"/>
              <w:right w:val="nil"/>
            </w:tcBorders>
          </w:tcPr>
          <w:bookmarkStart w:id="602" w:name="P602"/>
          <w:bookmarkEnd w:id="602"/>
          <w:p>
            <w:pPr>
              <w:pStyle w:val="0"/>
            </w:pPr>
            <w:r>
              <w:rPr>
                <w:sz w:val="24"/>
              </w:rPr>
              <w:t xml:space="preserve">Вознаграждение управляющих компаний, выплаченное в отчетном году</w:t>
            </w:r>
          </w:p>
        </w:tc>
        <w:tc>
          <w:tcPr>
            <w:tcW w:w="1155" w:type="dxa"/>
            <w:tcBorders>
              <w:top w:val="nil"/>
              <w:left w:val="nil"/>
              <w:bottom w:val="nil"/>
              <w:right w:val="nil"/>
            </w:tcBorders>
          </w:tcPr>
          <w:p>
            <w:pPr>
              <w:pStyle w:val="0"/>
              <w:jc w:val="center"/>
            </w:pPr>
            <w:r>
              <w:rPr>
                <w:sz w:val="24"/>
              </w:rPr>
              <w:t xml:space="preserve">400</w:t>
            </w:r>
          </w:p>
        </w:tc>
        <w:tc>
          <w:tcPr>
            <w:tcW w:w="1320" w:type="dxa"/>
            <w:tcBorders>
              <w:top w:val="nil"/>
              <w:left w:val="nil"/>
              <w:bottom w:val="nil"/>
              <w:right w:val="nil"/>
            </w:tcBorders>
          </w:tcPr>
          <w:p>
            <w:pPr>
              <w:pStyle w:val="0"/>
              <w:jc w:val="both"/>
            </w:pPr>
            <w:r>
              <w:rPr>
                <w:sz w:val="24"/>
              </w:rPr>
            </w:r>
          </w:p>
        </w:tc>
      </w:tr>
      <w:tr>
        <w:tc>
          <w:tcPr>
            <w:tcW w:w="6520" w:type="dxa"/>
            <w:tcBorders>
              <w:top w:val="nil"/>
              <w:left w:val="nil"/>
              <w:bottom w:val="nil"/>
              <w:right w:val="nil"/>
            </w:tcBorders>
          </w:tcPr>
          <w:bookmarkStart w:id="605" w:name="P605"/>
          <w:bookmarkEnd w:id="605"/>
          <w:p>
            <w:pPr>
              <w:pStyle w:val="0"/>
            </w:pPr>
            <w:r>
              <w:rPr>
                <w:sz w:val="24"/>
              </w:rPr>
              <w:t xml:space="preserve">Накопления для жилищного обеспечения, изъятые из доверительного управления в отчетном году</w:t>
            </w:r>
          </w:p>
        </w:tc>
        <w:tc>
          <w:tcPr>
            <w:tcW w:w="1155" w:type="dxa"/>
            <w:tcBorders>
              <w:top w:val="nil"/>
              <w:left w:val="nil"/>
              <w:bottom w:val="nil"/>
              <w:right w:val="nil"/>
            </w:tcBorders>
          </w:tcPr>
          <w:p>
            <w:pPr>
              <w:pStyle w:val="0"/>
              <w:jc w:val="center"/>
            </w:pPr>
            <w:r>
              <w:rPr>
                <w:sz w:val="24"/>
              </w:rPr>
              <w:t xml:space="preserve">500</w:t>
            </w:r>
          </w:p>
        </w:tc>
        <w:tc>
          <w:tcPr>
            <w:tcW w:w="1320" w:type="dxa"/>
            <w:tcBorders>
              <w:top w:val="nil"/>
              <w:left w:val="nil"/>
              <w:bottom w:val="nil"/>
              <w:right w:val="nil"/>
            </w:tcBorders>
          </w:tcPr>
          <w:p>
            <w:pPr>
              <w:pStyle w:val="0"/>
              <w:jc w:val="both"/>
            </w:pPr>
            <w:r>
              <w:rPr>
                <w:sz w:val="24"/>
              </w:rPr>
            </w:r>
          </w:p>
        </w:tc>
      </w:tr>
      <w:tr>
        <w:tc>
          <w:tcPr>
            <w:tcW w:w="6520" w:type="dxa"/>
            <w:tcBorders>
              <w:top w:val="nil"/>
              <w:left w:val="nil"/>
              <w:bottom w:val="single" w:sz="4"/>
              <w:right w:val="nil"/>
            </w:tcBorders>
          </w:tcPr>
          <w:p>
            <w:pPr>
              <w:pStyle w:val="0"/>
            </w:pPr>
            <w:r>
              <w:rPr>
                <w:sz w:val="24"/>
              </w:rPr>
              <w:t xml:space="preserve">Прирост (уменьшение) рыночной стоимости активов совокупного инвестиционного портфеля в отчетном году (код </w:t>
            </w:r>
            <w:hyperlink w:history="0" w:anchor="P593" w:tooltip="Накопления для жилищного обеспечения, переданные в доверительное управление в отчетном году">
              <w:r>
                <w:rPr>
                  <w:sz w:val="24"/>
                  <w:color w:val="0000ff"/>
                </w:rPr>
                <w:t xml:space="preserve">строки 100</w:t>
              </w:r>
            </w:hyperlink>
            <w:r>
              <w:rPr>
                <w:sz w:val="24"/>
              </w:rPr>
              <w:t xml:space="preserve"> + </w:t>
            </w:r>
            <w:hyperlink w:history="0" w:anchor="P596" w:tooltip="Суммарный доход от инвестирования накоплений для жилищного обеспечения за все кварталы отчетного года (без вычета необходимых расходов и вознаграждения управляющих компаний)">
              <w:r>
                <w:rPr>
                  <w:sz w:val="24"/>
                  <w:color w:val="0000ff"/>
                </w:rPr>
                <w:t xml:space="preserve">200</w:t>
              </w:r>
            </w:hyperlink>
            <w:r>
              <w:rPr>
                <w:sz w:val="24"/>
              </w:rPr>
              <w:t xml:space="preserve"> - </w:t>
            </w:r>
            <w:hyperlink w:history="0" w:anchor="P599" w:tooltip="Необходимые расходы по инвестированию накоплений для жилищного обеспечения, возмещенные в отчетном году">
              <w:r>
                <w:rPr>
                  <w:sz w:val="24"/>
                  <w:color w:val="0000ff"/>
                </w:rPr>
                <w:t xml:space="preserve">300</w:t>
              </w:r>
            </w:hyperlink>
            <w:r>
              <w:rPr>
                <w:sz w:val="24"/>
              </w:rPr>
              <w:t xml:space="preserve"> - </w:t>
            </w:r>
            <w:hyperlink w:history="0" w:anchor="P602" w:tooltip="Вознаграждение управляющих компаний, выплаченное в отчетном году">
              <w:r>
                <w:rPr>
                  <w:sz w:val="24"/>
                  <w:color w:val="0000ff"/>
                </w:rPr>
                <w:t xml:space="preserve">400</w:t>
              </w:r>
            </w:hyperlink>
            <w:r>
              <w:rPr>
                <w:sz w:val="24"/>
              </w:rPr>
              <w:t xml:space="preserve"> - </w:t>
            </w:r>
            <w:hyperlink w:history="0" w:anchor="P605" w:tooltip="Накопления для жилищного обеспечения, изъятые из доверительного управления в отчетном году">
              <w:r>
                <w:rPr>
                  <w:sz w:val="24"/>
                  <w:color w:val="0000ff"/>
                </w:rPr>
                <w:t xml:space="preserve">500</w:t>
              </w:r>
            </w:hyperlink>
            <w:r>
              <w:rPr>
                <w:sz w:val="24"/>
              </w:rPr>
              <w:t xml:space="preserve">)</w:t>
            </w:r>
          </w:p>
        </w:tc>
        <w:tc>
          <w:tcPr>
            <w:tcW w:w="1155" w:type="dxa"/>
            <w:tcBorders>
              <w:top w:val="nil"/>
              <w:left w:val="nil"/>
              <w:bottom w:val="single" w:sz="4"/>
              <w:right w:val="nil"/>
            </w:tcBorders>
          </w:tcPr>
          <w:p>
            <w:pPr>
              <w:pStyle w:val="0"/>
              <w:jc w:val="center"/>
            </w:pPr>
            <w:r>
              <w:rPr>
                <w:sz w:val="24"/>
              </w:rPr>
              <w:t xml:space="preserve">600</w:t>
            </w:r>
          </w:p>
        </w:tc>
        <w:tc>
          <w:tcPr>
            <w:tcW w:w="1320"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4</w:t>
      </w:r>
    </w:p>
    <w:p>
      <w:pPr>
        <w:pStyle w:val="0"/>
        <w:jc w:val="right"/>
      </w:pPr>
      <w:r>
        <w:rPr>
          <w:sz w:val="24"/>
        </w:rPr>
        <w:t xml:space="preserve">к Правилам раскрытия информации</w:t>
      </w:r>
    </w:p>
    <w:p>
      <w:pPr>
        <w:pStyle w:val="0"/>
        <w:jc w:val="right"/>
      </w:pPr>
      <w:r>
        <w:rPr>
          <w:sz w:val="24"/>
        </w:rPr>
        <w:t xml:space="preserve">о формировании, об инвестировании</w:t>
      </w:r>
    </w:p>
    <w:p>
      <w:pPr>
        <w:pStyle w:val="0"/>
        <w:jc w:val="right"/>
      </w:pPr>
      <w:r>
        <w:rPr>
          <w:sz w:val="24"/>
        </w:rPr>
        <w:t xml:space="preserve">и использовании накоплений</w:t>
      </w:r>
    </w:p>
    <w:p>
      <w:pPr>
        <w:pStyle w:val="0"/>
        <w:jc w:val="right"/>
      </w:pPr>
      <w:r>
        <w:rPr>
          <w:sz w:val="24"/>
        </w:rPr>
        <w:t xml:space="preserve">для жилищного обеспечения</w:t>
      </w:r>
    </w:p>
    <w:p>
      <w:pPr>
        <w:pStyle w:val="0"/>
        <w:jc w:val="right"/>
      </w:pPr>
      <w:r>
        <w:rPr>
          <w:sz w:val="24"/>
        </w:rPr>
        <w:t xml:space="preserve">военнослужащих</w:t>
      </w:r>
    </w:p>
    <w:p>
      <w:pPr>
        <w:pStyle w:val="0"/>
        <w:jc w:val="both"/>
      </w:pPr>
      <w:r>
        <w:rPr>
          <w:sz w:val="24"/>
        </w:rPr>
      </w:r>
    </w:p>
    <w:bookmarkStart w:id="623" w:name="P623"/>
    <w:bookmarkEnd w:id="623"/>
    <w:p>
      <w:pPr>
        <w:pStyle w:val="0"/>
        <w:jc w:val="center"/>
      </w:pPr>
      <w:r>
        <w:rPr>
          <w:sz w:val="24"/>
        </w:rPr>
        <w:t xml:space="preserve">СВЕДЕНИЯ</w:t>
      </w:r>
    </w:p>
    <w:p>
      <w:pPr>
        <w:pStyle w:val="0"/>
        <w:jc w:val="center"/>
      </w:pPr>
      <w:r>
        <w:rPr>
          <w:sz w:val="24"/>
        </w:rPr>
        <w:t xml:space="preserve">О СОВОКУПНОМ ИНВЕСТИЦИОННОМ ПОРТФЕЛЕ ЗА 20__ Г.</w:t>
      </w:r>
    </w:p>
    <w:p>
      <w:pPr>
        <w:pStyle w:val="0"/>
        <w:jc w:val="center"/>
      </w:pPr>
      <w:r>
        <w:rPr>
          <w:sz w:val="24"/>
        </w:rPr>
      </w:r>
    </w:p>
    <w:p>
      <w:pPr>
        <w:pStyle w:val="0"/>
        <w:outlineLvl w:val="2"/>
        <w:jc w:val="right"/>
      </w:pPr>
      <w:r>
        <w:rPr>
          <w:sz w:val="24"/>
        </w:rPr>
        <w:t xml:space="preserve">Таблица 1</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3912"/>
        <w:gridCol w:w="1320"/>
        <w:gridCol w:w="1644"/>
        <w:gridCol w:w="1320"/>
        <w:gridCol w:w="1814"/>
      </w:tblGrid>
      <w:tr>
        <w:tblPrEx>
          <w:tblBorders>
            <w:insideV w:val="single" w:sz="4"/>
            <w:insideH w:val="single" w:sz="4"/>
          </w:tblBorders>
        </w:tblPrEx>
        <w:tc>
          <w:tcPr>
            <w:tcW w:w="3912" w:type="dxa"/>
            <w:tcBorders>
              <w:top w:val="single" w:sz="4"/>
              <w:left w:val="nil"/>
              <w:bottom w:val="single" w:sz="4"/>
            </w:tcBorders>
            <w:vMerge w:val="restart"/>
          </w:tcPr>
          <w:p>
            <w:pPr>
              <w:pStyle w:val="0"/>
              <w:jc w:val="center"/>
            </w:pPr>
            <w:r>
              <w:rPr>
                <w:sz w:val="24"/>
              </w:rPr>
              <w:t xml:space="preserve">Вид актива</w:t>
            </w:r>
          </w:p>
        </w:tc>
        <w:tc>
          <w:tcPr>
            <w:gridSpan w:val="2"/>
            <w:tcW w:w="2964" w:type="dxa"/>
            <w:tcBorders>
              <w:top w:val="single" w:sz="4"/>
              <w:bottom w:val="single" w:sz="4"/>
            </w:tcBorders>
          </w:tcPr>
          <w:p>
            <w:pPr>
              <w:pStyle w:val="0"/>
              <w:jc w:val="center"/>
            </w:pPr>
            <w:r>
              <w:rPr>
                <w:sz w:val="24"/>
              </w:rPr>
              <w:t xml:space="preserve">На начало отчетного года</w:t>
            </w:r>
          </w:p>
        </w:tc>
        <w:tc>
          <w:tcPr>
            <w:gridSpan w:val="2"/>
            <w:tcW w:w="3134" w:type="dxa"/>
            <w:tcBorders>
              <w:top w:val="single" w:sz="4"/>
              <w:bottom w:val="single" w:sz="4"/>
              <w:right w:val="nil"/>
            </w:tcBorders>
          </w:tcPr>
          <w:p>
            <w:pPr>
              <w:pStyle w:val="0"/>
              <w:jc w:val="center"/>
            </w:pPr>
            <w:r>
              <w:rPr>
                <w:sz w:val="24"/>
              </w:rPr>
              <w:t xml:space="preserve">На конец отчетного года</w:t>
            </w:r>
          </w:p>
        </w:tc>
      </w:tr>
      <w:tr>
        <w:tblPrEx>
          <w:tblBorders>
            <w:insideV w:val="single" w:sz="4"/>
            <w:insideH w:val="single" w:sz="4"/>
          </w:tblBorders>
        </w:tblPrEx>
        <w:tc>
          <w:tcPr>
            <w:tcBorders>
              <w:top w:val="single" w:sz="4"/>
              <w:left w:val="nil"/>
              <w:bottom w:val="single" w:sz="4"/>
            </w:tcBorders>
            <w:vMerge w:val="continue"/>
          </w:tcPr>
          <w:p/>
        </w:tc>
        <w:tc>
          <w:tcPr>
            <w:tcW w:w="1320" w:type="dxa"/>
            <w:tcBorders>
              <w:top w:val="single" w:sz="4"/>
              <w:bottom w:val="single" w:sz="4"/>
            </w:tcBorders>
          </w:tcPr>
          <w:p>
            <w:pPr>
              <w:pStyle w:val="0"/>
              <w:jc w:val="center"/>
            </w:pPr>
            <w:r>
              <w:rPr>
                <w:sz w:val="24"/>
              </w:rPr>
              <w:t xml:space="preserve">рыночная стоимость актива (тыс. рублей)</w:t>
            </w:r>
          </w:p>
        </w:tc>
        <w:tc>
          <w:tcPr>
            <w:tcW w:w="1644" w:type="dxa"/>
            <w:tcBorders>
              <w:top w:val="single" w:sz="4"/>
              <w:bottom w:val="single" w:sz="4"/>
            </w:tcBorders>
          </w:tcPr>
          <w:p>
            <w:pPr>
              <w:pStyle w:val="0"/>
              <w:jc w:val="center"/>
            </w:pPr>
            <w:r>
              <w:rPr>
                <w:sz w:val="24"/>
              </w:rPr>
              <w:t xml:space="preserve">доля общей стоимости совокупного инвестиционного портфеля (процентов)</w:t>
            </w:r>
          </w:p>
        </w:tc>
        <w:tc>
          <w:tcPr>
            <w:tcW w:w="1320" w:type="dxa"/>
            <w:tcBorders>
              <w:top w:val="single" w:sz="4"/>
              <w:bottom w:val="single" w:sz="4"/>
            </w:tcBorders>
          </w:tcPr>
          <w:p>
            <w:pPr>
              <w:pStyle w:val="0"/>
              <w:jc w:val="center"/>
            </w:pPr>
            <w:r>
              <w:rPr>
                <w:sz w:val="24"/>
              </w:rPr>
              <w:t xml:space="preserve">рыночная стоимость актива (тыс. рублей)</w:t>
            </w:r>
          </w:p>
        </w:tc>
        <w:tc>
          <w:tcPr>
            <w:tcW w:w="1814" w:type="dxa"/>
            <w:tcBorders>
              <w:top w:val="single" w:sz="4"/>
              <w:bottom w:val="single" w:sz="4"/>
              <w:right w:val="nil"/>
            </w:tcBorders>
          </w:tcPr>
          <w:p>
            <w:pPr>
              <w:pStyle w:val="0"/>
              <w:jc w:val="center"/>
            </w:pPr>
            <w:r>
              <w:rPr>
                <w:sz w:val="24"/>
              </w:rPr>
              <w:t xml:space="preserve">доля общей стоимости совокупного инвестиционного портфеля (процентов)</w:t>
            </w:r>
          </w:p>
        </w:tc>
      </w:tr>
      <w:tr>
        <w:tc>
          <w:tcPr>
            <w:tcW w:w="3912" w:type="dxa"/>
            <w:tcBorders>
              <w:top w:val="single" w:sz="4"/>
              <w:left w:val="nil"/>
              <w:bottom w:val="nil"/>
              <w:right w:val="nil"/>
            </w:tcBorders>
          </w:tcPr>
          <w:p>
            <w:pPr>
              <w:pStyle w:val="0"/>
            </w:pPr>
            <w:r>
              <w:rPr>
                <w:sz w:val="24"/>
              </w:rPr>
              <w:t xml:space="preserve">Денежные средства на счетах в кредитных организациях - всего</w:t>
            </w:r>
          </w:p>
        </w:tc>
        <w:tc>
          <w:tcPr>
            <w:tcW w:w="1320" w:type="dxa"/>
            <w:tcBorders>
              <w:top w:val="single" w:sz="4"/>
              <w:left w:val="nil"/>
              <w:bottom w:val="nil"/>
              <w:right w:val="nil"/>
            </w:tcBorders>
          </w:tcPr>
          <w:p>
            <w:pPr>
              <w:pStyle w:val="0"/>
              <w:jc w:val="both"/>
            </w:pPr>
            <w:r>
              <w:rPr>
                <w:sz w:val="24"/>
              </w:rPr>
            </w:r>
          </w:p>
        </w:tc>
        <w:tc>
          <w:tcPr>
            <w:tcW w:w="1644" w:type="dxa"/>
            <w:tcBorders>
              <w:top w:val="single" w:sz="4"/>
              <w:left w:val="nil"/>
              <w:bottom w:val="nil"/>
              <w:right w:val="nil"/>
            </w:tcBorders>
          </w:tcPr>
          <w:p>
            <w:pPr>
              <w:pStyle w:val="0"/>
              <w:jc w:val="both"/>
            </w:pPr>
            <w:r>
              <w:rPr>
                <w:sz w:val="24"/>
              </w:rPr>
            </w:r>
          </w:p>
        </w:tc>
        <w:tc>
          <w:tcPr>
            <w:tcW w:w="1320" w:type="dxa"/>
            <w:tcBorders>
              <w:top w:val="single" w:sz="4"/>
              <w:left w:val="nil"/>
              <w:bottom w:val="nil"/>
              <w:right w:val="nil"/>
            </w:tcBorders>
          </w:tcPr>
          <w:p>
            <w:pPr>
              <w:pStyle w:val="0"/>
              <w:jc w:val="both"/>
            </w:pPr>
            <w:r>
              <w:rPr>
                <w:sz w:val="24"/>
              </w:rPr>
            </w:r>
          </w:p>
        </w:tc>
        <w:tc>
          <w:tcPr>
            <w:tcW w:w="1814" w:type="dxa"/>
            <w:tcBorders>
              <w:top w:val="single" w:sz="4"/>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283"/>
            </w:pPr>
            <w:r>
              <w:rPr>
                <w:sz w:val="24"/>
              </w:rPr>
              <w:t xml:space="preserve">в том числе: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566"/>
            </w:pPr>
            <w:r>
              <w:rPr>
                <w:sz w:val="24"/>
              </w:rPr>
              <w:t xml:space="preserve">в рублях в иностранной валюте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Депозиты в рублях в кредитных организациях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Государственные ценные бумаги Российской Федерации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283"/>
            </w:pPr>
            <w:r>
              <w:rPr>
                <w:sz w:val="24"/>
              </w:rPr>
              <w:t xml:space="preserve">в том числе: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566"/>
            </w:pPr>
            <w:r>
              <w:rPr>
                <w:sz w:val="24"/>
              </w:rPr>
              <w:t xml:space="preserve">номинированные в рублях номинированные в иностранной валюте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Государственные ценные бумаги субъектов Российской Федерации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Муниципальные облигации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Облигации российских хозяйственных обществ (за исключением облигаций с ипотечным покрытием)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283"/>
            </w:pPr>
            <w:r>
              <w:rPr>
                <w:sz w:val="24"/>
              </w:rPr>
              <w:t xml:space="preserve">в том числе: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566"/>
            </w:pPr>
            <w:r>
              <w:rPr>
                <w:sz w:val="24"/>
              </w:rPr>
              <w:t xml:space="preserve">номинированные в рублях номинированные в иностранной валюте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Акции российских эмитентов, созданных в форме открытых акционерных обществ,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Облигации с ипотечным покрытием, выпущенные в соответствии с законодательством Российской Федерации об ипотечных ценных бумагах,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283"/>
            </w:pPr>
            <w:r>
              <w:rPr>
                <w:sz w:val="24"/>
              </w:rPr>
              <w:t xml:space="preserve">в том числе: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566"/>
            </w:pPr>
            <w:r>
              <w:rPr>
                <w:sz w:val="24"/>
              </w:rPr>
              <w:t xml:space="preserve">номинированные в рублях номинированные в иностранной валюте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Ипотечные сертификаты участия, выпущенные в соответствии с законодательством Российской Федерации об ипотечных ценных бумагах,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Паи (акции, доли) иностранных индексных инвестиционных фондов, размещающих средства в государственные ценные бумаги иностранных государств, облигации и акции иных иностранных эмитентов,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Прочие активы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pPr>
            <w:r>
              <w:rPr>
                <w:sz w:val="24"/>
              </w:rPr>
              <w:t xml:space="preserve">Дебиторская задолженность - всего</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283"/>
            </w:pPr>
            <w:r>
              <w:rPr>
                <w:sz w:val="24"/>
              </w:rPr>
              <w:t xml:space="preserve">в том числе:</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566"/>
            </w:pPr>
            <w:r>
              <w:rPr>
                <w:sz w:val="24"/>
              </w:rPr>
              <w:t xml:space="preserve">накопления на специальных брокерских счетах</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566"/>
            </w:pPr>
            <w:r>
              <w:rPr>
                <w:sz w:val="24"/>
              </w:rPr>
              <w:t xml:space="preserve">начисленный процентный (купонный) доход по облигациям</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nil"/>
              <w:right w:val="nil"/>
            </w:tcBorders>
          </w:tcPr>
          <w:p>
            <w:pPr>
              <w:pStyle w:val="0"/>
              <w:ind w:left="566"/>
            </w:pPr>
            <w:r>
              <w:rPr>
                <w:sz w:val="24"/>
              </w:rPr>
              <w:t xml:space="preserve">прочая дебиторская задолженность</w:t>
            </w:r>
          </w:p>
        </w:tc>
        <w:tc>
          <w:tcPr>
            <w:tcW w:w="1320"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320" w:type="dxa"/>
            <w:tcBorders>
              <w:top w:val="nil"/>
              <w:left w:val="nil"/>
              <w:bottom w:val="nil"/>
              <w:right w:val="nil"/>
            </w:tcBorders>
          </w:tcPr>
          <w:p>
            <w:pPr>
              <w:pStyle w:val="0"/>
              <w:jc w:val="both"/>
            </w:pPr>
            <w:r>
              <w:rPr>
                <w:sz w:val="24"/>
              </w:rPr>
            </w:r>
          </w:p>
        </w:tc>
        <w:tc>
          <w:tcPr>
            <w:tcW w:w="1814" w:type="dxa"/>
            <w:tcBorders>
              <w:top w:val="nil"/>
              <w:left w:val="nil"/>
              <w:bottom w:val="nil"/>
              <w:right w:val="nil"/>
            </w:tcBorders>
          </w:tcPr>
          <w:p>
            <w:pPr>
              <w:pStyle w:val="0"/>
              <w:jc w:val="both"/>
            </w:pPr>
            <w:r>
              <w:rPr>
                <w:sz w:val="24"/>
              </w:rPr>
            </w:r>
          </w:p>
        </w:tc>
      </w:tr>
      <w:tr>
        <w:tc>
          <w:tcPr>
            <w:tcW w:w="3912" w:type="dxa"/>
            <w:tcBorders>
              <w:top w:val="nil"/>
              <w:left w:val="nil"/>
              <w:bottom w:val="single" w:sz="4"/>
              <w:right w:val="nil"/>
            </w:tcBorders>
          </w:tcPr>
          <w:p>
            <w:pPr>
              <w:pStyle w:val="0"/>
            </w:pPr>
            <w:r>
              <w:rPr>
                <w:sz w:val="24"/>
              </w:rPr>
              <w:t xml:space="preserve">Итого - стоимость совокупного инвестиционного портфеля</w:t>
            </w:r>
          </w:p>
        </w:tc>
        <w:tc>
          <w:tcPr>
            <w:tcW w:w="1320" w:type="dxa"/>
            <w:tcBorders>
              <w:top w:val="nil"/>
              <w:left w:val="nil"/>
              <w:bottom w:val="single" w:sz="4"/>
              <w:right w:val="nil"/>
            </w:tcBorders>
          </w:tcPr>
          <w:p>
            <w:pPr>
              <w:pStyle w:val="0"/>
              <w:jc w:val="both"/>
            </w:pPr>
            <w:r>
              <w:rPr>
                <w:sz w:val="24"/>
              </w:rPr>
            </w:r>
          </w:p>
        </w:tc>
        <w:tc>
          <w:tcPr>
            <w:tcW w:w="1644" w:type="dxa"/>
            <w:tcBorders>
              <w:top w:val="nil"/>
              <w:left w:val="nil"/>
              <w:bottom w:val="single" w:sz="4"/>
              <w:right w:val="nil"/>
            </w:tcBorders>
          </w:tcPr>
          <w:p>
            <w:pPr>
              <w:pStyle w:val="0"/>
              <w:jc w:val="both"/>
            </w:pPr>
            <w:r>
              <w:rPr>
                <w:sz w:val="24"/>
              </w:rPr>
            </w:r>
          </w:p>
        </w:tc>
        <w:tc>
          <w:tcPr>
            <w:tcW w:w="1320" w:type="dxa"/>
            <w:tcBorders>
              <w:top w:val="nil"/>
              <w:left w:val="nil"/>
              <w:bottom w:val="single" w:sz="4"/>
              <w:right w:val="nil"/>
            </w:tcBorders>
          </w:tcPr>
          <w:p>
            <w:pPr>
              <w:pStyle w:val="0"/>
              <w:jc w:val="both"/>
            </w:pPr>
            <w:r>
              <w:rPr>
                <w:sz w:val="24"/>
              </w:rPr>
            </w:r>
          </w:p>
        </w:tc>
        <w:tc>
          <w:tcPr>
            <w:tcW w:w="1814"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outlineLvl w:val="2"/>
        <w:jc w:val="right"/>
      </w:pPr>
      <w:r>
        <w:rPr>
          <w:sz w:val="24"/>
        </w:rPr>
        <w:t xml:space="preserve">Таблица 2</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92"/>
        <w:gridCol w:w="2211"/>
        <w:gridCol w:w="2268"/>
      </w:tblGrid>
      <w:tr>
        <w:tblPrEx>
          <w:tblBorders>
            <w:insideV w:val="single" w:sz="4"/>
            <w:insideH w:val="single" w:sz="4"/>
          </w:tblBorders>
        </w:tblPrEx>
        <w:tc>
          <w:tcPr>
            <w:tcW w:w="4592" w:type="dxa"/>
            <w:tcBorders>
              <w:top w:val="single" w:sz="4"/>
              <w:left w:val="nil"/>
              <w:bottom w:val="single" w:sz="4"/>
            </w:tcBorders>
          </w:tcPr>
          <w:p>
            <w:pPr>
              <w:pStyle w:val="0"/>
              <w:jc w:val="center"/>
            </w:pPr>
            <w:r>
              <w:rPr>
                <w:sz w:val="24"/>
              </w:rPr>
              <w:t xml:space="preserve">Наименование показателя</w:t>
            </w:r>
          </w:p>
        </w:tc>
        <w:tc>
          <w:tcPr>
            <w:tcW w:w="2211" w:type="dxa"/>
            <w:tcBorders>
              <w:top w:val="single" w:sz="4"/>
              <w:bottom w:val="single" w:sz="4"/>
            </w:tcBorders>
          </w:tcPr>
          <w:p>
            <w:pPr>
              <w:pStyle w:val="0"/>
              <w:jc w:val="center"/>
            </w:pPr>
            <w:r>
              <w:rPr>
                <w:sz w:val="24"/>
              </w:rPr>
              <w:t xml:space="preserve">Стоимость активов на конец отчетного года (тыс. рублей)</w:t>
            </w:r>
          </w:p>
        </w:tc>
        <w:tc>
          <w:tcPr>
            <w:tcW w:w="2268" w:type="dxa"/>
            <w:tcBorders>
              <w:top w:val="single" w:sz="4"/>
              <w:bottom w:val="single" w:sz="4"/>
              <w:right w:val="nil"/>
            </w:tcBorders>
          </w:tcPr>
          <w:p>
            <w:pPr>
              <w:pStyle w:val="0"/>
              <w:jc w:val="center"/>
            </w:pPr>
            <w:r>
              <w:rPr>
                <w:sz w:val="24"/>
              </w:rPr>
              <w:t xml:space="preserve">Доля стоимости активов в общей стоимости совокупного инвестиционного портфеля (процентов)</w:t>
            </w:r>
          </w:p>
        </w:tc>
      </w:tr>
      <w:tr>
        <w:tc>
          <w:tcPr>
            <w:tcW w:w="4592" w:type="dxa"/>
            <w:tcBorders>
              <w:top w:val="single" w:sz="4"/>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single" w:sz="4"/>
              <w:left w:val="nil"/>
              <w:bottom w:val="nil"/>
              <w:right w:val="nil"/>
            </w:tcBorders>
          </w:tcPr>
          <w:p>
            <w:pPr>
              <w:pStyle w:val="0"/>
              <w:jc w:val="both"/>
            </w:pPr>
            <w:r>
              <w:rPr>
                <w:sz w:val="24"/>
              </w:rPr>
            </w:r>
          </w:p>
        </w:tc>
        <w:tc>
          <w:tcPr>
            <w:tcW w:w="2268" w:type="dxa"/>
            <w:tcBorders>
              <w:top w:val="single" w:sz="4"/>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single" w:sz="4"/>
              <w:right w:val="nil"/>
            </w:tcBorders>
          </w:tcPr>
          <w:p>
            <w:pPr>
              <w:pStyle w:val="0"/>
            </w:pPr>
            <w:r>
              <w:rPr>
                <w:sz w:val="24"/>
              </w:rPr>
              <w:t xml:space="preserve">...</w:t>
            </w:r>
          </w:p>
        </w:tc>
        <w:tc>
          <w:tcPr>
            <w:tcW w:w="2211" w:type="dxa"/>
            <w:tcBorders>
              <w:top w:val="nil"/>
              <w:left w:val="nil"/>
              <w:bottom w:val="single" w:sz="4"/>
              <w:right w:val="nil"/>
            </w:tcBorders>
          </w:tcPr>
          <w:p>
            <w:pPr>
              <w:pStyle w:val="0"/>
              <w:jc w:val="both"/>
            </w:pPr>
            <w:r>
              <w:rPr>
                <w:sz w:val="24"/>
              </w:rPr>
            </w:r>
          </w:p>
        </w:tc>
        <w:tc>
          <w:tcPr>
            <w:tcW w:w="2268"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5</w:t>
      </w:r>
    </w:p>
    <w:p>
      <w:pPr>
        <w:pStyle w:val="0"/>
        <w:jc w:val="right"/>
      </w:pPr>
      <w:r>
        <w:rPr>
          <w:sz w:val="24"/>
        </w:rPr>
        <w:t xml:space="preserve">к Правилам раскрытия информации</w:t>
      </w:r>
    </w:p>
    <w:p>
      <w:pPr>
        <w:pStyle w:val="0"/>
        <w:jc w:val="right"/>
      </w:pPr>
      <w:r>
        <w:rPr>
          <w:sz w:val="24"/>
        </w:rPr>
        <w:t xml:space="preserve">о формировании, об инвестировании</w:t>
      </w:r>
    </w:p>
    <w:p>
      <w:pPr>
        <w:pStyle w:val="0"/>
        <w:jc w:val="right"/>
      </w:pPr>
      <w:r>
        <w:rPr>
          <w:sz w:val="24"/>
        </w:rPr>
        <w:t xml:space="preserve">и использовании накоплений</w:t>
      </w:r>
    </w:p>
    <w:p>
      <w:pPr>
        <w:pStyle w:val="0"/>
        <w:jc w:val="right"/>
      </w:pPr>
      <w:r>
        <w:rPr>
          <w:sz w:val="24"/>
        </w:rPr>
        <w:t xml:space="preserve">для жилищного обеспечения</w:t>
      </w:r>
    </w:p>
    <w:p>
      <w:pPr>
        <w:pStyle w:val="0"/>
        <w:jc w:val="right"/>
      </w:pPr>
      <w:r>
        <w:rPr>
          <w:sz w:val="24"/>
        </w:rPr>
        <w:t xml:space="preserve">военнослужащих</w:t>
      </w:r>
    </w:p>
    <w:p>
      <w:pPr>
        <w:pStyle w:val="0"/>
        <w:jc w:val="both"/>
      </w:pPr>
      <w:r>
        <w:rPr>
          <w:sz w:val="24"/>
        </w:rPr>
      </w:r>
    </w:p>
    <w:bookmarkStart w:id="805" w:name="P805"/>
    <w:bookmarkEnd w:id="805"/>
    <w:p>
      <w:pPr>
        <w:pStyle w:val="0"/>
        <w:jc w:val="center"/>
      </w:pPr>
      <w:r>
        <w:rPr>
          <w:sz w:val="24"/>
        </w:rPr>
        <w:t xml:space="preserve">СВЕДЕНИЯ</w:t>
      </w:r>
    </w:p>
    <w:p>
      <w:pPr>
        <w:pStyle w:val="0"/>
        <w:jc w:val="center"/>
      </w:pPr>
      <w:r>
        <w:rPr>
          <w:sz w:val="24"/>
        </w:rPr>
        <w:t xml:space="preserve">О ДОХОДАХ ОТ ИНВЕСТИРОВАНИЯ НАКОПЛЕНИЙ</w:t>
      </w:r>
    </w:p>
    <w:p>
      <w:pPr>
        <w:pStyle w:val="0"/>
        <w:jc w:val="center"/>
      </w:pPr>
      <w:r>
        <w:rPr>
          <w:sz w:val="24"/>
        </w:rPr>
        <w:t xml:space="preserve">ДЛЯ ЖИЛИЩНОГО ОБЕСПЕЧЕНИЯ ВОЕННОСЛУЖАЩИХ ЗА 20__ Г.</w:t>
      </w:r>
    </w:p>
    <w:p>
      <w:pPr>
        <w:pStyle w:val="0"/>
        <w:ind w:firstLine="540"/>
        <w:jc w:val="both"/>
      </w:pPr>
      <w:r>
        <w:rPr>
          <w:sz w:val="24"/>
        </w:rPr>
      </w:r>
    </w:p>
    <w:p>
      <w:pPr>
        <w:pStyle w:val="0"/>
        <w:outlineLvl w:val="2"/>
        <w:jc w:val="right"/>
      </w:pPr>
      <w:r>
        <w:rPr>
          <w:sz w:val="24"/>
        </w:rPr>
        <w:t xml:space="preserve">Таблица 1</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6350"/>
        <w:gridCol w:w="1320"/>
        <w:gridCol w:w="1320"/>
      </w:tblGrid>
      <w:tr>
        <w:tblPrEx>
          <w:tblBorders>
            <w:insideV w:val="single" w:sz="4"/>
            <w:insideH w:val="single" w:sz="4"/>
          </w:tblBorders>
        </w:tblPrEx>
        <w:tc>
          <w:tcPr>
            <w:tcW w:w="6350" w:type="dxa"/>
            <w:tcBorders>
              <w:top w:val="single" w:sz="4"/>
              <w:left w:val="nil"/>
              <w:bottom w:val="single" w:sz="4"/>
            </w:tcBorders>
          </w:tcPr>
          <w:p>
            <w:pPr>
              <w:pStyle w:val="0"/>
              <w:jc w:val="center"/>
            </w:pPr>
            <w:r>
              <w:rPr>
                <w:sz w:val="24"/>
              </w:rPr>
              <w:t xml:space="preserve">Наименование показателя</w:t>
            </w:r>
          </w:p>
        </w:tc>
        <w:tc>
          <w:tcPr>
            <w:tcW w:w="1320" w:type="dxa"/>
            <w:tcBorders>
              <w:top w:val="single" w:sz="4"/>
              <w:bottom w:val="single" w:sz="4"/>
            </w:tcBorders>
          </w:tcPr>
          <w:p>
            <w:pPr>
              <w:pStyle w:val="0"/>
              <w:jc w:val="center"/>
            </w:pPr>
            <w:r>
              <w:rPr>
                <w:sz w:val="24"/>
              </w:rPr>
              <w:t xml:space="preserve">Код строки</w:t>
            </w:r>
          </w:p>
        </w:tc>
        <w:tc>
          <w:tcPr>
            <w:tcW w:w="1320" w:type="dxa"/>
            <w:tcBorders>
              <w:top w:val="single" w:sz="4"/>
              <w:bottom w:val="single" w:sz="4"/>
              <w:right w:val="nil"/>
            </w:tcBorders>
          </w:tcPr>
          <w:p>
            <w:pPr>
              <w:pStyle w:val="0"/>
              <w:jc w:val="center"/>
            </w:pPr>
            <w:r>
              <w:rPr>
                <w:sz w:val="24"/>
              </w:rPr>
              <w:t xml:space="preserve">Тыс. рублей</w:t>
            </w:r>
          </w:p>
        </w:tc>
      </w:tr>
      <w:tr>
        <w:tc>
          <w:tcPr>
            <w:tcW w:w="6350" w:type="dxa"/>
            <w:tcBorders>
              <w:top w:val="single" w:sz="4"/>
              <w:left w:val="nil"/>
              <w:bottom w:val="nil"/>
              <w:right w:val="nil"/>
            </w:tcBorders>
          </w:tcPr>
          <w:bookmarkStart w:id="814" w:name="P814"/>
          <w:bookmarkEnd w:id="814"/>
          <w:p>
            <w:pPr>
              <w:pStyle w:val="0"/>
            </w:pPr>
            <w:r>
              <w:rPr>
                <w:sz w:val="24"/>
              </w:rPr>
              <w:t xml:space="preserve">Полученные дивиденды по акциям, а также проценты по облигациям и депозитам</w:t>
            </w:r>
          </w:p>
        </w:tc>
        <w:tc>
          <w:tcPr>
            <w:tcW w:w="1320" w:type="dxa"/>
            <w:tcBorders>
              <w:top w:val="single" w:sz="4"/>
              <w:left w:val="nil"/>
              <w:bottom w:val="nil"/>
              <w:right w:val="nil"/>
            </w:tcBorders>
          </w:tcPr>
          <w:p>
            <w:pPr>
              <w:pStyle w:val="0"/>
              <w:jc w:val="center"/>
            </w:pPr>
            <w:r>
              <w:rPr>
                <w:sz w:val="24"/>
              </w:rPr>
              <w:t xml:space="preserve">100</w:t>
            </w:r>
          </w:p>
        </w:tc>
        <w:tc>
          <w:tcPr>
            <w:tcW w:w="1320" w:type="dxa"/>
            <w:tcBorders>
              <w:top w:val="single" w:sz="4"/>
              <w:left w:val="nil"/>
              <w:bottom w:val="nil"/>
              <w:right w:val="nil"/>
            </w:tcBorders>
          </w:tcPr>
          <w:p>
            <w:pPr>
              <w:pStyle w:val="0"/>
              <w:jc w:val="both"/>
            </w:pPr>
            <w:r>
              <w:rPr>
                <w:sz w:val="24"/>
              </w:rPr>
            </w:r>
          </w:p>
        </w:tc>
      </w:tr>
      <w:tr>
        <w:tc>
          <w:tcPr>
            <w:tcW w:w="6350" w:type="dxa"/>
            <w:tcBorders>
              <w:top w:val="nil"/>
              <w:left w:val="nil"/>
              <w:bottom w:val="nil"/>
              <w:right w:val="nil"/>
            </w:tcBorders>
          </w:tcPr>
          <w:bookmarkStart w:id="817" w:name="P817"/>
          <w:bookmarkEnd w:id="817"/>
          <w:p>
            <w:pPr>
              <w:pStyle w:val="0"/>
            </w:pPr>
            <w:r>
              <w:rPr>
                <w:sz w:val="24"/>
              </w:rPr>
              <w:t xml:space="preserve">Чистый финансовый результат от реализации (выбытия) активов</w:t>
            </w:r>
          </w:p>
        </w:tc>
        <w:tc>
          <w:tcPr>
            <w:tcW w:w="1320" w:type="dxa"/>
            <w:tcBorders>
              <w:top w:val="nil"/>
              <w:left w:val="nil"/>
              <w:bottom w:val="nil"/>
              <w:right w:val="nil"/>
            </w:tcBorders>
          </w:tcPr>
          <w:p>
            <w:pPr>
              <w:pStyle w:val="0"/>
              <w:jc w:val="center"/>
            </w:pPr>
            <w:r>
              <w:rPr>
                <w:sz w:val="24"/>
              </w:rPr>
              <w:t xml:space="preserve">200</w:t>
            </w:r>
          </w:p>
        </w:tc>
        <w:tc>
          <w:tcPr>
            <w:tcW w:w="1320" w:type="dxa"/>
            <w:tcBorders>
              <w:top w:val="nil"/>
              <w:left w:val="nil"/>
              <w:bottom w:val="nil"/>
              <w:right w:val="nil"/>
            </w:tcBorders>
          </w:tcPr>
          <w:p>
            <w:pPr>
              <w:pStyle w:val="0"/>
              <w:jc w:val="both"/>
            </w:pPr>
            <w:r>
              <w:rPr>
                <w:sz w:val="24"/>
              </w:rPr>
            </w:r>
          </w:p>
        </w:tc>
      </w:tr>
      <w:tr>
        <w:tc>
          <w:tcPr>
            <w:tcW w:w="6350" w:type="dxa"/>
            <w:tcBorders>
              <w:top w:val="nil"/>
              <w:left w:val="nil"/>
              <w:bottom w:val="nil"/>
              <w:right w:val="nil"/>
            </w:tcBorders>
          </w:tcPr>
          <w:bookmarkStart w:id="820" w:name="P820"/>
          <w:bookmarkEnd w:id="820"/>
          <w:p>
            <w:pPr>
              <w:pStyle w:val="0"/>
            </w:pPr>
            <w:r>
              <w:rPr>
                <w:sz w:val="24"/>
              </w:rPr>
              <w:t xml:space="preserve">Финансовый результат, отражающий изменение рыночной стоимости совокупного инвестиционного портфеля за отчетный год</w:t>
            </w:r>
          </w:p>
        </w:tc>
        <w:tc>
          <w:tcPr>
            <w:tcW w:w="1320" w:type="dxa"/>
            <w:tcBorders>
              <w:top w:val="nil"/>
              <w:left w:val="nil"/>
              <w:bottom w:val="nil"/>
              <w:right w:val="nil"/>
            </w:tcBorders>
          </w:tcPr>
          <w:p>
            <w:pPr>
              <w:pStyle w:val="0"/>
              <w:jc w:val="center"/>
            </w:pPr>
            <w:r>
              <w:rPr>
                <w:sz w:val="24"/>
              </w:rPr>
              <w:t xml:space="preserve">300</w:t>
            </w:r>
          </w:p>
        </w:tc>
        <w:tc>
          <w:tcPr>
            <w:tcW w:w="1320" w:type="dxa"/>
            <w:tcBorders>
              <w:top w:val="nil"/>
              <w:left w:val="nil"/>
              <w:bottom w:val="nil"/>
              <w:right w:val="nil"/>
            </w:tcBorders>
          </w:tcPr>
          <w:p>
            <w:pPr>
              <w:pStyle w:val="0"/>
              <w:jc w:val="both"/>
            </w:pPr>
            <w:r>
              <w:rPr>
                <w:sz w:val="24"/>
              </w:rPr>
            </w:r>
          </w:p>
        </w:tc>
      </w:tr>
      <w:tr>
        <w:tc>
          <w:tcPr>
            <w:tcW w:w="6350" w:type="dxa"/>
            <w:tcBorders>
              <w:top w:val="nil"/>
              <w:left w:val="nil"/>
              <w:bottom w:val="nil"/>
              <w:right w:val="nil"/>
            </w:tcBorders>
          </w:tcPr>
          <w:bookmarkStart w:id="823" w:name="P823"/>
          <w:bookmarkEnd w:id="823"/>
          <w:p>
            <w:pPr>
              <w:pStyle w:val="0"/>
            </w:pPr>
            <w:r>
              <w:rPr>
                <w:sz w:val="24"/>
              </w:rPr>
              <w:t xml:space="preserve">Прочие доходы от операций по инвестированию накоплений для жилищного обеспечения военнослужащих</w:t>
            </w:r>
          </w:p>
        </w:tc>
        <w:tc>
          <w:tcPr>
            <w:tcW w:w="1320" w:type="dxa"/>
            <w:tcBorders>
              <w:top w:val="nil"/>
              <w:left w:val="nil"/>
              <w:bottom w:val="nil"/>
              <w:right w:val="nil"/>
            </w:tcBorders>
          </w:tcPr>
          <w:p>
            <w:pPr>
              <w:pStyle w:val="0"/>
              <w:jc w:val="center"/>
            </w:pPr>
            <w:r>
              <w:rPr>
                <w:sz w:val="24"/>
              </w:rPr>
              <w:t xml:space="preserve">400</w:t>
            </w:r>
          </w:p>
        </w:tc>
        <w:tc>
          <w:tcPr>
            <w:tcW w:w="1320" w:type="dxa"/>
            <w:tcBorders>
              <w:top w:val="nil"/>
              <w:left w:val="nil"/>
              <w:bottom w:val="nil"/>
              <w:right w:val="nil"/>
            </w:tcBorders>
          </w:tcPr>
          <w:p>
            <w:pPr>
              <w:pStyle w:val="0"/>
              <w:jc w:val="both"/>
            </w:pPr>
            <w:r>
              <w:rPr>
                <w:sz w:val="24"/>
              </w:rPr>
            </w:r>
          </w:p>
        </w:tc>
      </w:tr>
      <w:tr>
        <w:tc>
          <w:tcPr>
            <w:tcW w:w="6350" w:type="dxa"/>
            <w:tcBorders>
              <w:top w:val="nil"/>
              <w:left w:val="nil"/>
              <w:bottom w:val="nil"/>
              <w:right w:val="nil"/>
            </w:tcBorders>
          </w:tcPr>
          <w:p>
            <w:pPr>
              <w:pStyle w:val="0"/>
            </w:pPr>
            <w:r>
              <w:rPr>
                <w:sz w:val="24"/>
              </w:rPr>
              <w:t xml:space="preserve">Доходы от инвестирования накоплений для жилищного обеспечения военнослужащих (код </w:t>
            </w:r>
            <w:hyperlink w:history="0" w:anchor="P814" w:tooltip="Полученные дивиденды по акциям, а также проценты по облигациям и депозитам">
              <w:r>
                <w:rPr>
                  <w:sz w:val="24"/>
                  <w:color w:val="0000ff"/>
                </w:rPr>
                <w:t xml:space="preserve">строки 100</w:t>
              </w:r>
            </w:hyperlink>
            <w:r>
              <w:rPr>
                <w:sz w:val="24"/>
              </w:rPr>
              <w:t xml:space="preserve"> + </w:t>
            </w:r>
            <w:hyperlink w:history="0" w:anchor="P817" w:tooltip="Чистый финансовый результат от реализации (выбытия) активов">
              <w:r>
                <w:rPr>
                  <w:sz w:val="24"/>
                  <w:color w:val="0000ff"/>
                </w:rPr>
                <w:t xml:space="preserve">200</w:t>
              </w:r>
            </w:hyperlink>
            <w:r>
              <w:rPr>
                <w:sz w:val="24"/>
              </w:rPr>
              <w:t xml:space="preserve"> + </w:t>
            </w:r>
            <w:hyperlink w:history="0" w:anchor="P820" w:tooltip="Финансовый результат, отражающий изменение рыночной стоимости совокупного инвестиционного портфеля за отчетный год">
              <w:r>
                <w:rPr>
                  <w:sz w:val="24"/>
                  <w:color w:val="0000ff"/>
                </w:rPr>
                <w:t xml:space="preserve">300</w:t>
              </w:r>
            </w:hyperlink>
            <w:r>
              <w:rPr>
                <w:sz w:val="24"/>
              </w:rPr>
              <w:t xml:space="preserve"> + </w:t>
            </w:r>
            <w:hyperlink w:history="0" w:anchor="P823" w:tooltip="Прочие доходы от операций по инвестированию накоплений для жилищного обеспечения военнослужащих">
              <w:r>
                <w:rPr>
                  <w:sz w:val="24"/>
                  <w:color w:val="0000ff"/>
                </w:rPr>
                <w:t xml:space="preserve">400</w:t>
              </w:r>
            </w:hyperlink>
            <w:r>
              <w:rPr>
                <w:sz w:val="24"/>
              </w:rPr>
              <w:t xml:space="preserve">) - всего</w:t>
            </w:r>
          </w:p>
        </w:tc>
        <w:tc>
          <w:tcPr>
            <w:tcW w:w="1320" w:type="dxa"/>
            <w:tcBorders>
              <w:top w:val="nil"/>
              <w:left w:val="nil"/>
              <w:bottom w:val="nil"/>
              <w:right w:val="nil"/>
            </w:tcBorders>
          </w:tcPr>
          <w:p>
            <w:pPr>
              <w:pStyle w:val="0"/>
              <w:jc w:val="center"/>
            </w:pPr>
            <w:r>
              <w:rPr>
                <w:sz w:val="24"/>
              </w:rPr>
              <w:t xml:space="preserve">500</w:t>
            </w:r>
          </w:p>
        </w:tc>
        <w:tc>
          <w:tcPr>
            <w:tcW w:w="1320" w:type="dxa"/>
            <w:tcBorders>
              <w:top w:val="nil"/>
              <w:left w:val="nil"/>
              <w:bottom w:val="nil"/>
              <w:right w:val="nil"/>
            </w:tcBorders>
          </w:tcPr>
          <w:p>
            <w:pPr>
              <w:pStyle w:val="0"/>
              <w:jc w:val="both"/>
            </w:pPr>
            <w:r>
              <w:rPr>
                <w:sz w:val="24"/>
              </w:rPr>
            </w:r>
          </w:p>
        </w:tc>
      </w:tr>
      <w:tr>
        <w:tc>
          <w:tcPr>
            <w:tcW w:w="6350" w:type="dxa"/>
            <w:tcBorders>
              <w:top w:val="nil"/>
              <w:left w:val="nil"/>
              <w:bottom w:val="nil"/>
              <w:right w:val="nil"/>
            </w:tcBorders>
          </w:tcPr>
          <w:p>
            <w:pPr>
              <w:pStyle w:val="0"/>
            </w:pPr>
            <w:r>
              <w:rPr>
                <w:sz w:val="24"/>
              </w:rPr>
              <w:t xml:space="preserve">Необходимые расходы управляющих компаний на инвестирование накоплений для жилищного обеспечения военнослужащих</w:t>
            </w:r>
          </w:p>
        </w:tc>
        <w:tc>
          <w:tcPr>
            <w:tcW w:w="1320" w:type="dxa"/>
            <w:tcBorders>
              <w:top w:val="nil"/>
              <w:left w:val="nil"/>
              <w:bottom w:val="nil"/>
              <w:right w:val="nil"/>
            </w:tcBorders>
          </w:tcPr>
          <w:p>
            <w:pPr>
              <w:pStyle w:val="0"/>
              <w:jc w:val="center"/>
            </w:pPr>
            <w:r>
              <w:rPr>
                <w:sz w:val="24"/>
              </w:rPr>
              <w:t xml:space="preserve">600</w:t>
            </w:r>
          </w:p>
        </w:tc>
        <w:tc>
          <w:tcPr>
            <w:tcW w:w="1320" w:type="dxa"/>
            <w:tcBorders>
              <w:top w:val="nil"/>
              <w:left w:val="nil"/>
              <w:bottom w:val="nil"/>
              <w:right w:val="nil"/>
            </w:tcBorders>
          </w:tcPr>
          <w:p>
            <w:pPr>
              <w:pStyle w:val="0"/>
              <w:jc w:val="both"/>
            </w:pPr>
            <w:r>
              <w:rPr>
                <w:sz w:val="24"/>
              </w:rPr>
            </w:r>
          </w:p>
        </w:tc>
      </w:tr>
      <w:tr>
        <w:tc>
          <w:tcPr>
            <w:tcW w:w="6350" w:type="dxa"/>
            <w:tcBorders>
              <w:top w:val="nil"/>
              <w:left w:val="nil"/>
              <w:bottom w:val="nil"/>
              <w:right w:val="nil"/>
            </w:tcBorders>
          </w:tcPr>
          <w:p>
            <w:pPr>
              <w:pStyle w:val="0"/>
            </w:pPr>
            <w:r>
              <w:rPr>
                <w:sz w:val="24"/>
              </w:rPr>
              <w:t xml:space="preserve">Вознаграждение управляющих компаний, удержанное по итогам отчетного года</w:t>
            </w:r>
          </w:p>
        </w:tc>
        <w:tc>
          <w:tcPr>
            <w:tcW w:w="1320" w:type="dxa"/>
            <w:tcBorders>
              <w:top w:val="nil"/>
              <w:left w:val="nil"/>
              <w:bottom w:val="nil"/>
              <w:right w:val="nil"/>
            </w:tcBorders>
          </w:tcPr>
          <w:p>
            <w:pPr>
              <w:pStyle w:val="0"/>
              <w:jc w:val="center"/>
            </w:pPr>
            <w:r>
              <w:rPr>
                <w:sz w:val="24"/>
              </w:rPr>
              <w:t xml:space="preserve">700</w:t>
            </w:r>
          </w:p>
        </w:tc>
        <w:tc>
          <w:tcPr>
            <w:tcW w:w="1320" w:type="dxa"/>
            <w:tcBorders>
              <w:top w:val="nil"/>
              <w:left w:val="nil"/>
              <w:bottom w:val="nil"/>
              <w:right w:val="nil"/>
            </w:tcBorders>
          </w:tcPr>
          <w:p>
            <w:pPr>
              <w:pStyle w:val="0"/>
              <w:jc w:val="both"/>
            </w:pPr>
            <w:r>
              <w:rPr>
                <w:sz w:val="24"/>
              </w:rPr>
            </w:r>
          </w:p>
        </w:tc>
      </w:tr>
      <w:tr>
        <w:tc>
          <w:tcPr>
            <w:tcW w:w="6350" w:type="dxa"/>
            <w:tcBorders>
              <w:top w:val="nil"/>
              <w:left w:val="nil"/>
              <w:bottom w:val="nil"/>
              <w:right w:val="nil"/>
            </w:tcBorders>
          </w:tcPr>
          <w:p>
            <w:pPr>
              <w:pStyle w:val="0"/>
            </w:pPr>
            <w:r>
              <w:rPr>
                <w:sz w:val="24"/>
              </w:rPr>
              <w:t xml:space="preserve">Процентный доход по подлежащим возврату в федеральный бюджет целевым жилищным займам</w:t>
            </w:r>
          </w:p>
        </w:tc>
        <w:tc>
          <w:tcPr>
            <w:tcW w:w="1320" w:type="dxa"/>
            <w:tcBorders>
              <w:top w:val="nil"/>
              <w:left w:val="nil"/>
              <w:bottom w:val="nil"/>
              <w:right w:val="nil"/>
            </w:tcBorders>
          </w:tcPr>
          <w:p>
            <w:pPr>
              <w:pStyle w:val="0"/>
              <w:jc w:val="center"/>
            </w:pPr>
            <w:r>
              <w:rPr>
                <w:sz w:val="24"/>
              </w:rPr>
              <w:t xml:space="preserve">800</w:t>
            </w:r>
          </w:p>
        </w:tc>
        <w:tc>
          <w:tcPr>
            <w:tcW w:w="1320" w:type="dxa"/>
            <w:tcBorders>
              <w:top w:val="nil"/>
              <w:left w:val="nil"/>
              <w:bottom w:val="nil"/>
              <w:right w:val="nil"/>
            </w:tcBorders>
          </w:tcPr>
          <w:p>
            <w:pPr>
              <w:pStyle w:val="0"/>
              <w:jc w:val="both"/>
            </w:pPr>
            <w:r>
              <w:rPr>
                <w:sz w:val="24"/>
              </w:rPr>
            </w:r>
          </w:p>
        </w:tc>
      </w:tr>
      <w:tr>
        <w:tc>
          <w:tcPr>
            <w:tcW w:w="6350" w:type="dxa"/>
            <w:tcBorders>
              <w:top w:val="nil"/>
              <w:left w:val="nil"/>
              <w:bottom w:val="single" w:sz="4"/>
              <w:right w:val="nil"/>
            </w:tcBorders>
          </w:tcPr>
          <w:p>
            <w:pPr>
              <w:pStyle w:val="0"/>
            </w:pPr>
            <w:r>
              <w:rPr>
                <w:sz w:val="24"/>
              </w:rPr>
              <w:t xml:space="preserve">Доход от инвестирования накоплений для жилищного обеспечения военнослужащих, подлежащий разнесению по именным накопительным счетам</w:t>
            </w:r>
          </w:p>
        </w:tc>
        <w:tc>
          <w:tcPr>
            <w:tcW w:w="1320" w:type="dxa"/>
            <w:tcBorders>
              <w:top w:val="nil"/>
              <w:left w:val="nil"/>
              <w:bottom w:val="single" w:sz="4"/>
              <w:right w:val="nil"/>
            </w:tcBorders>
          </w:tcPr>
          <w:p>
            <w:pPr>
              <w:pStyle w:val="0"/>
              <w:jc w:val="center"/>
            </w:pPr>
            <w:r>
              <w:rPr>
                <w:sz w:val="24"/>
              </w:rPr>
              <w:t xml:space="preserve">900</w:t>
            </w:r>
          </w:p>
        </w:tc>
        <w:tc>
          <w:tcPr>
            <w:tcW w:w="1320"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outlineLvl w:val="2"/>
        <w:jc w:val="right"/>
      </w:pPr>
      <w:r>
        <w:rPr>
          <w:sz w:val="24"/>
        </w:rPr>
        <w:t xml:space="preserve">Таблица 2</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92"/>
        <w:gridCol w:w="2211"/>
        <w:gridCol w:w="2268"/>
      </w:tblGrid>
      <w:tr>
        <w:tblPrEx>
          <w:tblBorders>
            <w:insideV w:val="single" w:sz="4"/>
            <w:insideH w:val="single" w:sz="4"/>
          </w:tblBorders>
        </w:tblPrEx>
        <w:tc>
          <w:tcPr>
            <w:tcW w:w="4592" w:type="dxa"/>
            <w:tcBorders>
              <w:top w:val="single" w:sz="4"/>
              <w:left w:val="nil"/>
              <w:bottom w:val="single" w:sz="4"/>
            </w:tcBorders>
          </w:tcPr>
          <w:p>
            <w:pPr>
              <w:pStyle w:val="0"/>
              <w:jc w:val="center"/>
            </w:pPr>
            <w:r>
              <w:rPr>
                <w:sz w:val="24"/>
              </w:rPr>
              <w:t xml:space="preserve">Наименование показателя</w:t>
            </w:r>
          </w:p>
        </w:tc>
        <w:tc>
          <w:tcPr>
            <w:tcW w:w="2211" w:type="dxa"/>
            <w:tcBorders>
              <w:top w:val="single" w:sz="4"/>
              <w:bottom w:val="single" w:sz="4"/>
            </w:tcBorders>
          </w:tcPr>
          <w:p>
            <w:pPr>
              <w:pStyle w:val="0"/>
              <w:jc w:val="center"/>
            </w:pPr>
            <w:r>
              <w:rPr>
                <w:sz w:val="24"/>
              </w:rPr>
              <w:t xml:space="preserve">Сумма дохода от инвестирования за отчетный год </w:t>
            </w:r>
            <w:hyperlink w:history="0" w:anchor="P876" w:tooltip="&lt;*&gt; Указывается доход от инвестирования, подлежащий разнесению по именным накопительным счетам (за вычетом процентного дохода по целевым жилищным займам).">
              <w:r>
                <w:rPr>
                  <w:sz w:val="24"/>
                  <w:color w:val="0000ff"/>
                </w:rPr>
                <w:t xml:space="preserve">&lt;*&gt;</w:t>
              </w:r>
            </w:hyperlink>
            <w:r>
              <w:rPr>
                <w:sz w:val="24"/>
              </w:rPr>
              <w:t xml:space="preserve"> (тыс. рублей)</w:t>
            </w:r>
          </w:p>
        </w:tc>
        <w:tc>
          <w:tcPr>
            <w:tcW w:w="2268" w:type="dxa"/>
            <w:tcBorders>
              <w:top w:val="single" w:sz="4"/>
              <w:bottom w:val="single" w:sz="4"/>
              <w:right w:val="nil"/>
            </w:tcBorders>
          </w:tcPr>
          <w:p>
            <w:pPr>
              <w:pStyle w:val="0"/>
              <w:jc w:val="center"/>
            </w:pPr>
            <w:r>
              <w:rPr>
                <w:sz w:val="24"/>
              </w:rPr>
              <w:t xml:space="preserve">Доля в доходе от инвестирования </w:t>
            </w:r>
            <w:hyperlink w:history="0" w:anchor="P876" w:tooltip="&lt;*&gt; Указывается доход от инвестирования, подлежащий разнесению по именным накопительным счетам (за вычетом процентного дохода по целевым жилищным займам).">
              <w:r>
                <w:rPr>
                  <w:sz w:val="24"/>
                  <w:color w:val="0000ff"/>
                </w:rPr>
                <w:t xml:space="preserve">&lt;*&gt;</w:t>
              </w:r>
            </w:hyperlink>
            <w:r>
              <w:rPr>
                <w:sz w:val="24"/>
              </w:rPr>
              <w:t xml:space="preserve"> за отчетный год по совокупному инвестиционному портфелю (процентов)</w:t>
            </w:r>
          </w:p>
        </w:tc>
      </w:tr>
      <w:tr>
        <w:tc>
          <w:tcPr>
            <w:tcW w:w="4592" w:type="dxa"/>
            <w:tcBorders>
              <w:top w:val="single" w:sz="4"/>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single" w:sz="4"/>
              <w:left w:val="nil"/>
              <w:bottom w:val="nil"/>
              <w:right w:val="nil"/>
            </w:tcBorders>
          </w:tcPr>
          <w:p>
            <w:pPr>
              <w:pStyle w:val="0"/>
              <w:jc w:val="both"/>
            </w:pPr>
            <w:r>
              <w:rPr>
                <w:sz w:val="24"/>
              </w:rPr>
            </w:r>
          </w:p>
        </w:tc>
        <w:tc>
          <w:tcPr>
            <w:tcW w:w="2268" w:type="dxa"/>
            <w:tcBorders>
              <w:top w:val="single" w:sz="4"/>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single" w:sz="4"/>
              <w:right w:val="nil"/>
            </w:tcBorders>
          </w:tcPr>
          <w:p>
            <w:pPr>
              <w:pStyle w:val="0"/>
            </w:pPr>
            <w:r>
              <w:rPr>
                <w:sz w:val="24"/>
              </w:rPr>
              <w:t xml:space="preserve">...</w:t>
            </w:r>
          </w:p>
        </w:tc>
        <w:tc>
          <w:tcPr>
            <w:tcW w:w="2211" w:type="dxa"/>
            <w:tcBorders>
              <w:top w:val="nil"/>
              <w:left w:val="nil"/>
              <w:bottom w:val="single" w:sz="4"/>
              <w:right w:val="nil"/>
            </w:tcBorders>
          </w:tcPr>
          <w:p>
            <w:pPr>
              <w:pStyle w:val="0"/>
              <w:jc w:val="both"/>
            </w:pPr>
            <w:r>
              <w:rPr>
                <w:sz w:val="24"/>
              </w:rPr>
            </w:r>
          </w:p>
        </w:tc>
        <w:tc>
          <w:tcPr>
            <w:tcW w:w="2268"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ind w:firstLine="540"/>
        <w:jc w:val="both"/>
      </w:pPr>
      <w:r>
        <w:rPr>
          <w:sz w:val="24"/>
        </w:rPr>
        <w:t xml:space="preserve">--------------------------------</w:t>
      </w:r>
    </w:p>
    <w:bookmarkStart w:id="876" w:name="P876"/>
    <w:bookmarkEnd w:id="876"/>
    <w:p>
      <w:pPr>
        <w:pStyle w:val="0"/>
        <w:spacing w:before="240" w:line-rule="auto"/>
        <w:ind w:firstLine="540"/>
        <w:jc w:val="both"/>
      </w:pPr>
      <w:r>
        <w:rPr>
          <w:sz w:val="24"/>
        </w:rPr>
        <w:t xml:space="preserve">&lt;*&gt; Указывается доход от инвестирования, подлежащий разнесению по именным накопительным счетам (за вычетом процентного дохода по целевым жилищным займам).</w:t>
      </w:r>
    </w:p>
    <w:p>
      <w:pPr>
        <w:pStyle w:val="0"/>
        <w:ind w:firstLine="540"/>
        <w:jc w:val="both"/>
      </w:pPr>
      <w:r>
        <w:rPr>
          <w:sz w:val="24"/>
        </w:rPr>
      </w:r>
    </w:p>
    <w:p>
      <w:pPr>
        <w:pStyle w:val="0"/>
        <w:outlineLvl w:val="2"/>
        <w:jc w:val="right"/>
      </w:pPr>
      <w:r>
        <w:rPr>
          <w:sz w:val="24"/>
        </w:rPr>
        <w:t xml:space="preserve">Таблица 3</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92"/>
        <w:gridCol w:w="2211"/>
        <w:gridCol w:w="2268"/>
      </w:tblGrid>
      <w:tr>
        <w:tblPrEx>
          <w:tblBorders>
            <w:insideV w:val="single" w:sz="4"/>
            <w:insideH w:val="single" w:sz="4"/>
          </w:tblBorders>
        </w:tblPrEx>
        <w:tc>
          <w:tcPr>
            <w:tcW w:w="4592" w:type="dxa"/>
            <w:tcBorders>
              <w:top w:val="single" w:sz="4"/>
              <w:left w:val="nil"/>
              <w:bottom w:val="single" w:sz="4"/>
            </w:tcBorders>
            <w:vMerge w:val="restart"/>
          </w:tcPr>
          <w:p>
            <w:pPr>
              <w:pStyle w:val="0"/>
              <w:jc w:val="center"/>
            </w:pPr>
            <w:r>
              <w:rPr>
                <w:sz w:val="24"/>
              </w:rPr>
              <w:t xml:space="preserve">Наименование показателя</w:t>
            </w:r>
          </w:p>
        </w:tc>
        <w:tc>
          <w:tcPr>
            <w:gridSpan w:val="2"/>
            <w:tcW w:w="4479" w:type="dxa"/>
            <w:tcBorders>
              <w:top w:val="single" w:sz="4"/>
              <w:bottom w:val="single" w:sz="4"/>
              <w:right w:val="nil"/>
            </w:tcBorders>
          </w:tcPr>
          <w:p>
            <w:pPr>
              <w:pStyle w:val="0"/>
              <w:jc w:val="center"/>
            </w:pPr>
            <w:r>
              <w:rPr>
                <w:sz w:val="24"/>
              </w:rPr>
              <w:t xml:space="preserve">Доходность от инвестирования на конец отчетного года (процентов годовых)</w:t>
            </w:r>
          </w:p>
        </w:tc>
      </w:tr>
      <w:tr>
        <w:tblPrEx>
          <w:tblBorders>
            <w:insideV w:val="single" w:sz="4"/>
            <w:insideH w:val="single" w:sz="4"/>
          </w:tblBorders>
        </w:tblPrEx>
        <w:tc>
          <w:tcPr>
            <w:tcBorders>
              <w:top w:val="single" w:sz="4"/>
              <w:left w:val="nil"/>
              <w:bottom w:val="single" w:sz="4"/>
            </w:tcBorders>
            <w:vMerge w:val="continue"/>
          </w:tcPr>
          <w:p/>
        </w:tc>
        <w:tc>
          <w:tcPr>
            <w:tcW w:w="2211" w:type="dxa"/>
            <w:tcBorders>
              <w:top w:val="single" w:sz="4"/>
              <w:bottom w:val="single" w:sz="4"/>
            </w:tcBorders>
          </w:tcPr>
          <w:p>
            <w:pPr>
              <w:pStyle w:val="0"/>
              <w:jc w:val="center"/>
            </w:pPr>
            <w:r>
              <w:rPr>
                <w:sz w:val="24"/>
              </w:rPr>
              <w:t xml:space="preserve">за 12 месяцев</w:t>
            </w:r>
          </w:p>
        </w:tc>
        <w:tc>
          <w:tcPr>
            <w:tcW w:w="2268" w:type="dxa"/>
            <w:tcBorders>
              <w:top w:val="single" w:sz="4"/>
              <w:bottom w:val="single" w:sz="4"/>
              <w:right w:val="nil"/>
            </w:tcBorders>
          </w:tcPr>
          <w:p>
            <w:pPr>
              <w:pStyle w:val="0"/>
              <w:jc w:val="center"/>
            </w:pPr>
            <w:r>
              <w:rPr>
                <w:sz w:val="24"/>
              </w:rPr>
              <w:t xml:space="preserve">за 3 года</w:t>
            </w:r>
          </w:p>
        </w:tc>
      </w:tr>
      <w:tr>
        <w:tc>
          <w:tcPr>
            <w:tcW w:w="4592" w:type="dxa"/>
            <w:tcBorders>
              <w:top w:val="single" w:sz="4"/>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single" w:sz="4"/>
              <w:left w:val="nil"/>
              <w:bottom w:val="nil"/>
              <w:right w:val="nil"/>
            </w:tcBorders>
          </w:tcPr>
          <w:p>
            <w:pPr>
              <w:pStyle w:val="0"/>
              <w:jc w:val="both"/>
            </w:pPr>
            <w:r>
              <w:rPr>
                <w:sz w:val="24"/>
              </w:rPr>
            </w:r>
          </w:p>
        </w:tc>
        <w:tc>
          <w:tcPr>
            <w:tcW w:w="2268" w:type="dxa"/>
            <w:tcBorders>
              <w:top w:val="single" w:sz="4"/>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2211" w:type="dxa"/>
            <w:tcBorders>
              <w:top w:val="nil"/>
              <w:left w:val="nil"/>
              <w:bottom w:val="nil"/>
              <w:right w:val="nil"/>
            </w:tcBorders>
          </w:tcPr>
          <w:p>
            <w:pPr>
              <w:pStyle w:val="0"/>
              <w:jc w:val="both"/>
            </w:pPr>
            <w:r>
              <w:rPr>
                <w:sz w:val="24"/>
              </w:rPr>
            </w:r>
          </w:p>
        </w:tc>
        <w:tc>
          <w:tcPr>
            <w:tcW w:w="2268" w:type="dxa"/>
            <w:tcBorders>
              <w:top w:val="nil"/>
              <w:left w:val="nil"/>
              <w:bottom w:val="nil"/>
              <w:right w:val="nil"/>
            </w:tcBorders>
          </w:tcPr>
          <w:p>
            <w:pPr>
              <w:pStyle w:val="0"/>
              <w:jc w:val="both"/>
            </w:pPr>
            <w:r>
              <w:rPr>
                <w:sz w:val="24"/>
              </w:rPr>
            </w:r>
          </w:p>
        </w:tc>
      </w:tr>
      <w:tr>
        <w:tc>
          <w:tcPr>
            <w:tcW w:w="4592" w:type="dxa"/>
            <w:tcBorders>
              <w:top w:val="nil"/>
              <w:left w:val="nil"/>
              <w:bottom w:val="single" w:sz="4"/>
              <w:right w:val="nil"/>
            </w:tcBorders>
          </w:tcPr>
          <w:p>
            <w:pPr>
              <w:pStyle w:val="0"/>
            </w:pPr>
            <w:r>
              <w:rPr>
                <w:sz w:val="24"/>
              </w:rPr>
              <w:t xml:space="preserve">...</w:t>
            </w:r>
          </w:p>
        </w:tc>
        <w:tc>
          <w:tcPr>
            <w:tcW w:w="2211" w:type="dxa"/>
            <w:tcBorders>
              <w:top w:val="nil"/>
              <w:left w:val="nil"/>
              <w:bottom w:val="single" w:sz="4"/>
              <w:right w:val="nil"/>
            </w:tcBorders>
          </w:tcPr>
          <w:p>
            <w:pPr>
              <w:pStyle w:val="0"/>
              <w:jc w:val="both"/>
            </w:pPr>
            <w:r>
              <w:rPr>
                <w:sz w:val="24"/>
              </w:rPr>
            </w:r>
          </w:p>
        </w:tc>
        <w:tc>
          <w:tcPr>
            <w:tcW w:w="2268"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6</w:t>
      </w:r>
    </w:p>
    <w:p>
      <w:pPr>
        <w:pStyle w:val="0"/>
        <w:jc w:val="right"/>
      </w:pPr>
      <w:r>
        <w:rPr>
          <w:sz w:val="24"/>
        </w:rPr>
        <w:t xml:space="preserve">к Правилам раскрытия информации</w:t>
      </w:r>
    </w:p>
    <w:p>
      <w:pPr>
        <w:pStyle w:val="0"/>
        <w:jc w:val="right"/>
      </w:pPr>
      <w:r>
        <w:rPr>
          <w:sz w:val="24"/>
        </w:rPr>
        <w:t xml:space="preserve">о формировании, об инвестировании</w:t>
      </w:r>
    </w:p>
    <w:p>
      <w:pPr>
        <w:pStyle w:val="0"/>
        <w:jc w:val="right"/>
      </w:pPr>
      <w:r>
        <w:rPr>
          <w:sz w:val="24"/>
        </w:rPr>
        <w:t xml:space="preserve">и использовании накоплений</w:t>
      </w:r>
    </w:p>
    <w:p>
      <w:pPr>
        <w:pStyle w:val="0"/>
        <w:jc w:val="right"/>
      </w:pPr>
      <w:r>
        <w:rPr>
          <w:sz w:val="24"/>
        </w:rPr>
        <w:t xml:space="preserve">для жилищного обеспечения</w:t>
      </w:r>
    </w:p>
    <w:p>
      <w:pPr>
        <w:pStyle w:val="0"/>
        <w:jc w:val="right"/>
      </w:pPr>
      <w:r>
        <w:rPr>
          <w:sz w:val="24"/>
        </w:rPr>
        <w:t xml:space="preserve">военнослужащих</w:t>
      </w:r>
    </w:p>
    <w:p>
      <w:pPr>
        <w:pStyle w:val="0"/>
        <w:jc w:val="both"/>
      </w:pPr>
      <w:r>
        <w:rPr>
          <w:sz w:val="24"/>
        </w:rPr>
      </w:r>
    </w:p>
    <w:bookmarkStart w:id="923" w:name="P923"/>
    <w:bookmarkEnd w:id="923"/>
    <w:p>
      <w:pPr>
        <w:pStyle w:val="0"/>
        <w:jc w:val="center"/>
      </w:pPr>
      <w:r>
        <w:rPr>
          <w:sz w:val="24"/>
        </w:rPr>
        <w:t xml:space="preserve">СВЕДЕНИЯ</w:t>
      </w:r>
    </w:p>
    <w:p>
      <w:pPr>
        <w:pStyle w:val="0"/>
        <w:jc w:val="center"/>
      </w:pPr>
      <w:r>
        <w:rPr>
          <w:sz w:val="24"/>
        </w:rPr>
        <w:t xml:space="preserve">О ВОЗНАГРАЖДЕНИИ И НЕОБХОДИМЫХ РАСХОДАХ УПРАВЛЯЮЩИХ</w:t>
      </w:r>
    </w:p>
    <w:p>
      <w:pPr>
        <w:pStyle w:val="0"/>
        <w:jc w:val="center"/>
      </w:pPr>
      <w:r>
        <w:rPr>
          <w:sz w:val="24"/>
        </w:rPr>
        <w:t xml:space="preserve">КОМПАНИЙ ЗА 20__ Г.</w:t>
      </w:r>
    </w:p>
    <w:p>
      <w:pPr>
        <w:pStyle w:val="0"/>
        <w:ind w:firstLine="540"/>
        <w:jc w:val="both"/>
      </w:pPr>
      <w:r>
        <w:rPr>
          <w:sz w:val="24"/>
        </w:rPr>
      </w:r>
    </w:p>
    <w:p>
      <w:pPr>
        <w:pStyle w:val="0"/>
        <w:outlineLvl w:val="2"/>
        <w:jc w:val="right"/>
      </w:pPr>
      <w:r>
        <w:rPr>
          <w:sz w:val="24"/>
        </w:rPr>
        <w:t xml:space="preserve">Таблица 1</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6066"/>
        <w:gridCol w:w="825"/>
        <w:gridCol w:w="2154"/>
      </w:tblGrid>
      <w:tr>
        <w:tblPrEx>
          <w:tblBorders>
            <w:insideV w:val="single" w:sz="4"/>
            <w:insideH w:val="single" w:sz="4"/>
          </w:tblBorders>
        </w:tblPrEx>
        <w:tc>
          <w:tcPr>
            <w:tcW w:w="6066" w:type="dxa"/>
            <w:tcBorders>
              <w:top w:val="single" w:sz="4"/>
              <w:left w:val="nil"/>
              <w:bottom w:val="single" w:sz="4"/>
            </w:tcBorders>
          </w:tcPr>
          <w:p>
            <w:pPr>
              <w:pStyle w:val="0"/>
              <w:jc w:val="center"/>
            </w:pPr>
            <w:r>
              <w:rPr>
                <w:sz w:val="24"/>
              </w:rPr>
              <w:t xml:space="preserve">Наименование показателя</w:t>
            </w:r>
          </w:p>
        </w:tc>
        <w:tc>
          <w:tcPr>
            <w:tcW w:w="825" w:type="dxa"/>
            <w:tcBorders>
              <w:top w:val="single" w:sz="4"/>
              <w:bottom w:val="single" w:sz="4"/>
            </w:tcBorders>
          </w:tcPr>
          <w:p>
            <w:pPr>
              <w:pStyle w:val="0"/>
              <w:jc w:val="center"/>
            </w:pPr>
            <w:r>
              <w:rPr>
                <w:sz w:val="24"/>
              </w:rPr>
              <w:t xml:space="preserve">Тыс. рублей</w:t>
            </w:r>
          </w:p>
        </w:tc>
        <w:tc>
          <w:tcPr>
            <w:tcW w:w="2154" w:type="dxa"/>
            <w:tcBorders>
              <w:top w:val="single" w:sz="4"/>
              <w:bottom w:val="single" w:sz="4"/>
              <w:right w:val="nil"/>
            </w:tcBorders>
          </w:tcPr>
          <w:p>
            <w:pPr>
              <w:pStyle w:val="0"/>
              <w:jc w:val="center"/>
            </w:pPr>
            <w:r>
              <w:rPr>
                <w:sz w:val="24"/>
              </w:rPr>
              <w:t xml:space="preserve">Процентов средней стоимости чистых активов совокупного инвестиционного портфеля</w:t>
            </w:r>
          </w:p>
        </w:tc>
      </w:tr>
      <w:tr>
        <w:tc>
          <w:tcPr>
            <w:tcW w:w="6066" w:type="dxa"/>
            <w:tcBorders>
              <w:top w:val="single" w:sz="4"/>
              <w:left w:val="nil"/>
              <w:bottom w:val="nil"/>
              <w:right w:val="nil"/>
            </w:tcBorders>
          </w:tcPr>
          <w:p>
            <w:pPr>
              <w:pStyle w:val="0"/>
            </w:pPr>
            <w:r>
              <w:rPr>
                <w:sz w:val="24"/>
              </w:rPr>
              <w:t xml:space="preserve">Удержано вознаграждение управляющих компаний по итогам отчетного года</w:t>
            </w:r>
          </w:p>
        </w:tc>
        <w:tc>
          <w:tcPr>
            <w:tcW w:w="825" w:type="dxa"/>
            <w:tcBorders>
              <w:top w:val="single" w:sz="4"/>
              <w:left w:val="nil"/>
              <w:bottom w:val="nil"/>
              <w:right w:val="nil"/>
            </w:tcBorders>
          </w:tcPr>
          <w:p>
            <w:pPr>
              <w:pStyle w:val="0"/>
              <w:jc w:val="both"/>
            </w:pPr>
            <w:r>
              <w:rPr>
                <w:sz w:val="24"/>
              </w:rPr>
            </w:r>
          </w:p>
        </w:tc>
        <w:tc>
          <w:tcPr>
            <w:tcW w:w="2154" w:type="dxa"/>
            <w:tcBorders>
              <w:top w:val="single" w:sz="4"/>
              <w:left w:val="nil"/>
              <w:bottom w:val="nil"/>
              <w:right w:val="nil"/>
            </w:tcBorders>
          </w:tcPr>
          <w:p>
            <w:pPr>
              <w:pStyle w:val="0"/>
              <w:jc w:val="both"/>
            </w:pPr>
            <w:r>
              <w:rPr>
                <w:sz w:val="24"/>
              </w:rPr>
            </w:r>
          </w:p>
        </w:tc>
      </w:tr>
      <w:tr>
        <w:tc>
          <w:tcPr>
            <w:tcW w:w="6066" w:type="dxa"/>
            <w:tcBorders>
              <w:top w:val="nil"/>
              <w:left w:val="nil"/>
              <w:bottom w:val="nil"/>
              <w:right w:val="nil"/>
            </w:tcBorders>
          </w:tcPr>
          <w:p>
            <w:pPr>
              <w:pStyle w:val="0"/>
            </w:pPr>
            <w:r>
              <w:rPr>
                <w:sz w:val="24"/>
              </w:rPr>
              <w:t xml:space="preserve">Оплачено необходимых расходов управляющих компаний на инвестирование накоплений для жилищного обеспечения военнослужащих - всего</w:t>
            </w:r>
          </w:p>
        </w:tc>
        <w:tc>
          <w:tcPr>
            <w:tcW w:w="825" w:type="dxa"/>
            <w:tcBorders>
              <w:top w:val="nil"/>
              <w:left w:val="nil"/>
              <w:bottom w:val="nil"/>
              <w:right w:val="nil"/>
            </w:tcBorders>
          </w:tcPr>
          <w:p>
            <w:pPr>
              <w:pStyle w:val="0"/>
              <w:jc w:val="both"/>
            </w:pPr>
            <w:r>
              <w:rPr>
                <w:sz w:val="24"/>
              </w:rPr>
            </w:r>
          </w:p>
        </w:tc>
        <w:tc>
          <w:tcPr>
            <w:tcW w:w="2154" w:type="dxa"/>
            <w:tcBorders>
              <w:top w:val="nil"/>
              <w:left w:val="nil"/>
              <w:bottom w:val="nil"/>
              <w:right w:val="nil"/>
            </w:tcBorders>
          </w:tcPr>
          <w:p>
            <w:pPr>
              <w:pStyle w:val="0"/>
              <w:jc w:val="both"/>
            </w:pPr>
            <w:r>
              <w:rPr>
                <w:sz w:val="24"/>
              </w:rPr>
            </w:r>
          </w:p>
        </w:tc>
      </w:tr>
      <w:tr>
        <w:tc>
          <w:tcPr>
            <w:tcW w:w="6066" w:type="dxa"/>
            <w:tcBorders>
              <w:top w:val="nil"/>
              <w:left w:val="nil"/>
              <w:bottom w:val="nil"/>
              <w:right w:val="nil"/>
            </w:tcBorders>
          </w:tcPr>
          <w:p>
            <w:pPr>
              <w:pStyle w:val="0"/>
              <w:ind w:left="283"/>
            </w:pPr>
            <w:r>
              <w:rPr>
                <w:sz w:val="24"/>
              </w:rPr>
              <w:t xml:space="preserve">в том числе:</w:t>
            </w:r>
          </w:p>
        </w:tc>
        <w:tc>
          <w:tcPr>
            <w:tcW w:w="825" w:type="dxa"/>
            <w:tcBorders>
              <w:top w:val="nil"/>
              <w:left w:val="nil"/>
              <w:bottom w:val="nil"/>
              <w:right w:val="nil"/>
            </w:tcBorders>
          </w:tcPr>
          <w:p>
            <w:pPr>
              <w:pStyle w:val="0"/>
              <w:jc w:val="both"/>
            </w:pPr>
            <w:r>
              <w:rPr>
                <w:sz w:val="24"/>
              </w:rPr>
            </w:r>
          </w:p>
        </w:tc>
        <w:tc>
          <w:tcPr>
            <w:tcW w:w="2154" w:type="dxa"/>
            <w:tcBorders>
              <w:top w:val="nil"/>
              <w:left w:val="nil"/>
              <w:bottom w:val="nil"/>
              <w:right w:val="nil"/>
            </w:tcBorders>
          </w:tcPr>
          <w:p>
            <w:pPr>
              <w:pStyle w:val="0"/>
              <w:jc w:val="both"/>
            </w:pPr>
            <w:r>
              <w:rPr>
                <w:sz w:val="24"/>
              </w:rPr>
            </w:r>
          </w:p>
        </w:tc>
      </w:tr>
      <w:tr>
        <w:tc>
          <w:tcPr>
            <w:tcW w:w="6066" w:type="dxa"/>
            <w:tcBorders>
              <w:top w:val="nil"/>
              <w:left w:val="nil"/>
              <w:bottom w:val="nil"/>
              <w:right w:val="nil"/>
            </w:tcBorders>
          </w:tcPr>
          <w:p>
            <w:pPr>
              <w:pStyle w:val="0"/>
              <w:ind w:left="566"/>
            </w:pPr>
            <w:r>
              <w:rPr>
                <w:sz w:val="24"/>
              </w:rPr>
              <w:t xml:space="preserve">на оплату услуг специализированного депозитария уполномоченному федеральному органу</w:t>
            </w:r>
          </w:p>
        </w:tc>
        <w:tc>
          <w:tcPr>
            <w:tcW w:w="825" w:type="dxa"/>
            <w:tcBorders>
              <w:top w:val="nil"/>
              <w:left w:val="nil"/>
              <w:bottom w:val="nil"/>
              <w:right w:val="nil"/>
            </w:tcBorders>
          </w:tcPr>
          <w:p>
            <w:pPr>
              <w:pStyle w:val="0"/>
              <w:jc w:val="both"/>
            </w:pPr>
            <w:r>
              <w:rPr>
                <w:sz w:val="24"/>
              </w:rPr>
            </w:r>
          </w:p>
        </w:tc>
        <w:tc>
          <w:tcPr>
            <w:tcW w:w="2154" w:type="dxa"/>
            <w:tcBorders>
              <w:top w:val="nil"/>
              <w:left w:val="nil"/>
              <w:bottom w:val="nil"/>
              <w:right w:val="nil"/>
            </w:tcBorders>
          </w:tcPr>
          <w:p>
            <w:pPr>
              <w:pStyle w:val="0"/>
              <w:jc w:val="both"/>
            </w:pPr>
            <w:r>
              <w:rPr>
                <w:sz w:val="24"/>
              </w:rPr>
            </w:r>
          </w:p>
        </w:tc>
      </w:tr>
      <w:tr>
        <w:tc>
          <w:tcPr>
            <w:tcW w:w="6066" w:type="dxa"/>
            <w:tcBorders>
              <w:top w:val="nil"/>
              <w:left w:val="nil"/>
              <w:bottom w:val="nil"/>
              <w:right w:val="nil"/>
            </w:tcBorders>
          </w:tcPr>
          <w:p>
            <w:pPr>
              <w:pStyle w:val="0"/>
              <w:ind w:left="566"/>
            </w:pPr>
            <w:r>
              <w:rPr>
                <w:sz w:val="24"/>
              </w:rPr>
              <w:t xml:space="preserve">на оплату услуг специализированного депозитария управляющим компаниям</w:t>
            </w:r>
          </w:p>
        </w:tc>
        <w:tc>
          <w:tcPr>
            <w:tcW w:w="825" w:type="dxa"/>
            <w:tcBorders>
              <w:top w:val="nil"/>
              <w:left w:val="nil"/>
              <w:bottom w:val="nil"/>
              <w:right w:val="nil"/>
            </w:tcBorders>
          </w:tcPr>
          <w:p>
            <w:pPr>
              <w:pStyle w:val="0"/>
              <w:jc w:val="both"/>
            </w:pPr>
            <w:r>
              <w:rPr>
                <w:sz w:val="24"/>
              </w:rPr>
            </w:r>
          </w:p>
        </w:tc>
        <w:tc>
          <w:tcPr>
            <w:tcW w:w="2154" w:type="dxa"/>
            <w:tcBorders>
              <w:top w:val="nil"/>
              <w:left w:val="nil"/>
              <w:bottom w:val="nil"/>
              <w:right w:val="nil"/>
            </w:tcBorders>
          </w:tcPr>
          <w:p>
            <w:pPr>
              <w:pStyle w:val="0"/>
              <w:jc w:val="both"/>
            </w:pPr>
            <w:r>
              <w:rPr>
                <w:sz w:val="24"/>
              </w:rPr>
            </w:r>
          </w:p>
        </w:tc>
      </w:tr>
      <w:tr>
        <w:tc>
          <w:tcPr>
            <w:tcW w:w="6066" w:type="dxa"/>
            <w:tcBorders>
              <w:top w:val="nil"/>
              <w:left w:val="nil"/>
              <w:bottom w:val="nil"/>
              <w:right w:val="nil"/>
            </w:tcBorders>
          </w:tcPr>
          <w:p>
            <w:pPr>
              <w:pStyle w:val="0"/>
              <w:ind w:left="566"/>
            </w:pPr>
            <w:r>
              <w:rPr>
                <w:sz w:val="24"/>
              </w:rPr>
              <w:t xml:space="preserve">на оплату услуг аудитора по проведению обязательного аудита финансовой (бухгалтерской) отчетности управляющих компаний по формированию и инвестированию накоплений, а также на финансирование целевого использования накоплений</w:t>
            </w:r>
          </w:p>
        </w:tc>
        <w:tc>
          <w:tcPr>
            <w:tcW w:w="825" w:type="dxa"/>
            <w:tcBorders>
              <w:top w:val="nil"/>
              <w:left w:val="nil"/>
              <w:bottom w:val="nil"/>
              <w:right w:val="nil"/>
            </w:tcBorders>
          </w:tcPr>
          <w:p>
            <w:pPr>
              <w:pStyle w:val="0"/>
              <w:jc w:val="both"/>
            </w:pPr>
            <w:r>
              <w:rPr>
                <w:sz w:val="24"/>
              </w:rPr>
            </w:r>
          </w:p>
        </w:tc>
        <w:tc>
          <w:tcPr>
            <w:tcW w:w="2154" w:type="dxa"/>
            <w:tcBorders>
              <w:top w:val="nil"/>
              <w:left w:val="nil"/>
              <w:bottom w:val="nil"/>
              <w:right w:val="nil"/>
            </w:tcBorders>
          </w:tcPr>
          <w:p>
            <w:pPr>
              <w:pStyle w:val="0"/>
              <w:jc w:val="both"/>
            </w:pPr>
            <w:r>
              <w:rPr>
                <w:sz w:val="24"/>
              </w:rPr>
            </w:r>
          </w:p>
        </w:tc>
      </w:tr>
      <w:tr>
        <w:tc>
          <w:tcPr>
            <w:tcW w:w="6066" w:type="dxa"/>
            <w:tcBorders>
              <w:top w:val="nil"/>
              <w:left w:val="nil"/>
              <w:bottom w:val="nil"/>
              <w:right w:val="nil"/>
            </w:tcBorders>
          </w:tcPr>
          <w:p>
            <w:pPr>
              <w:pStyle w:val="0"/>
              <w:ind w:left="566"/>
            </w:pPr>
            <w:r>
              <w:rPr>
                <w:sz w:val="24"/>
              </w:rPr>
              <w:t xml:space="preserve">на выплату страховой премии по договору обязательного страхования ответственности управляющим компаниям</w:t>
            </w:r>
          </w:p>
        </w:tc>
        <w:tc>
          <w:tcPr>
            <w:tcW w:w="825" w:type="dxa"/>
            <w:tcBorders>
              <w:top w:val="nil"/>
              <w:left w:val="nil"/>
              <w:bottom w:val="nil"/>
              <w:right w:val="nil"/>
            </w:tcBorders>
          </w:tcPr>
          <w:p>
            <w:pPr>
              <w:pStyle w:val="0"/>
              <w:jc w:val="both"/>
            </w:pPr>
            <w:r>
              <w:rPr>
                <w:sz w:val="24"/>
              </w:rPr>
            </w:r>
          </w:p>
        </w:tc>
        <w:tc>
          <w:tcPr>
            <w:tcW w:w="2154" w:type="dxa"/>
            <w:tcBorders>
              <w:top w:val="nil"/>
              <w:left w:val="nil"/>
              <w:bottom w:val="nil"/>
              <w:right w:val="nil"/>
            </w:tcBorders>
          </w:tcPr>
          <w:p>
            <w:pPr>
              <w:pStyle w:val="0"/>
              <w:jc w:val="both"/>
            </w:pPr>
            <w:r>
              <w:rPr>
                <w:sz w:val="24"/>
              </w:rPr>
            </w:r>
          </w:p>
        </w:tc>
      </w:tr>
      <w:tr>
        <w:tc>
          <w:tcPr>
            <w:tcW w:w="6066" w:type="dxa"/>
            <w:tcBorders>
              <w:top w:val="nil"/>
              <w:left w:val="nil"/>
              <w:bottom w:val="nil"/>
              <w:right w:val="nil"/>
            </w:tcBorders>
          </w:tcPr>
          <w:p>
            <w:pPr>
              <w:pStyle w:val="0"/>
              <w:ind w:left="566"/>
            </w:pPr>
            <w:r>
              <w:rPr>
                <w:sz w:val="24"/>
              </w:rPr>
              <w:t xml:space="preserve">на выплату комиссионного вознаграждения брокерам, совершающим сделки, связанные с инвестированием накоплений, и (или) оплату услуг таких брокеров</w:t>
            </w:r>
          </w:p>
        </w:tc>
        <w:tc>
          <w:tcPr>
            <w:tcW w:w="825" w:type="dxa"/>
            <w:tcBorders>
              <w:top w:val="nil"/>
              <w:left w:val="nil"/>
              <w:bottom w:val="nil"/>
              <w:right w:val="nil"/>
            </w:tcBorders>
          </w:tcPr>
          <w:p>
            <w:pPr>
              <w:pStyle w:val="0"/>
              <w:jc w:val="both"/>
            </w:pPr>
            <w:r>
              <w:rPr>
                <w:sz w:val="24"/>
              </w:rPr>
            </w:r>
          </w:p>
        </w:tc>
        <w:tc>
          <w:tcPr>
            <w:tcW w:w="2154" w:type="dxa"/>
            <w:tcBorders>
              <w:top w:val="nil"/>
              <w:left w:val="nil"/>
              <w:bottom w:val="nil"/>
              <w:right w:val="nil"/>
            </w:tcBorders>
          </w:tcPr>
          <w:p>
            <w:pPr>
              <w:pStyle w:val="0"/>
              <w:jc w:val="both"/>
            </w:pPr>
            <w:r>
              <w:rPr>
                <w:sz w:val="24"/>
              </w:rPr>
            </w:r>
          </w:p>
        </w:tc>
      </w:tr>
      <w:tr>
        <w:tc>
          <w:tcPr>
            <w:tcW w:w="6066" w:type="dxa"/>
            <w:tcBorders>
              <w:top w:val="nil"/>
              <w:left w:val="nil"/>
              <w:bottom w:val="nil"/>
              <w:right w:val="nil"/>
            </w:tcBorders>
          </w:tcPr>
          <w:p>
            <w:pPr>
              <w:pStyle w:val="0"/>
              <w:ind w:left="566"/>
            </w:pPr>
            <w:r>
              <w:rPr>
                <w:sz w:val="24"/>
              </w:rPr>
              <w:t xml:space="preserve">иные расходы</w:t>
            </w:r>
          </w:p>
        </w:tc>
        <w:tc>
          <w:tcPr>
            <w:tcW w:w="825" w:type="dxa"/>
            <w:tcBorders>
              <w:top w:val="nil"/>
              <w:left w:val="nil"/>
              <w:bottom w:val="nil"/>
              <w:right w:val="nil"/>
            </w:tcBorders>
          </w:tcPr>
          <w:p>
            <w:pPr>
              <w:pStyle w:val="0"/>
              <w:jc w:val="both"/>
            </w:pPr>
            <w:r>
              <w:rPr>
                <w:sz w:val="24"/>
              </w:rPr>
            </w:r>
          </w:p>
        </w:tc>
        <w:tc>
          <w:tcPr>
            <w:tcW w:w="2154" w:type="dxa"/>
            <w:tcBorders>
              <w:top w:val="nil"/>
              <w:left w:val="nil"/>
              <w:bottom w:val="nil"/>
              <w:right w:val="nil"/>
            </w:tcBorders>
          </w:tcPr>
          <w:p>
            <w:pPr>
              <w:pStyle w:val="0"/>
              <w:jc w:val="both"/>
            </w:pPr>
            <w:r>
              <w:rPr>
                <w:sz w:val="24"/>
              </w:rPr>
            </w:r>
          </w:p>
        </w:tc>
      </w:tr>
      <w:tr>
        <w:tc>
          <w:tcPr>
            <w:tcW w:w="6066" w:type="dxa"/>
            <w:tcBorders>
              <w:top w:val="nil"/>
              <w:left w:val="nil"/>
              <w:bottom w:val="single" w:sz="4"/>
              <w:right w:val="nil"/>
            </w:tcBorders>
          </w:tcPr>
          <w:p>
            <w:pPr>
              <w:pStyle w:val="0"/>
            </w:pPr>
            <w:r>
              <w:rPr>
                <w:sz w:val="24"/>
              </w:rPr>
              <w:t xml:space="preserve">Использовано накоплений для жилищного обеспечения военнослужащих для выплаты вознаграждений управляющим компаниям и оплаты необходимых расходов на инвестирование накоплений для жилищного обеспечения - всего</w:t>
            </w:r>
          </w:p>
        </w:tc>
        <w:tc>
          <w:tcPr>
            <w:tcW w:w="825" w:type="dxa"/>
            <w:tcBorders>
              <w:top w:val="nil"/>
              <w:left w:val="nil"/>
              <w:bottom w:val="single" w:sz="4"/>
              <w:right w:val="nil"/>
            </w:tcBorders>
          </w:tcPr>
          <w:p>
            <w:pPr>
              <w:pStyle w:val="0"/>
              <w:jc w:val="both"/>
            </w:pPr>
            <w:r>
              <w:rPr>
                <w:sz w:val="24"/>
              </w:rPr>
            </w:r>
          </w:p>
        </w:tc>
        <w:tc>
          <w:tcPr>
            <w:tcW w:w="2154"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ind w:firstLine="540"/>
        <w:jc w:val="both"/>
      </w:pPr>
      <w:r>
        <w:rPr>
          <w:sz w:val="24"/>
        </w:rPr>
        <w:t xml:space="preserve">Примечание. Средняя стоимость чистых активов совокупного инвестиционного портфеля за отчетный год составляет ____ тыс. рублей.</w:t>
      </w:r>
    </w:p>
    <w:p>
      <w:pPr>
        <w:pStyle w:val="0"/>
        <w:jc w:val="both"/>
      </w:pPr>
      <w:r>
        <w:rPr>
          <w:sz w:val="24"/>
        </w:rPr>
      </w:r>
    </w:p>
    <w:p>
      <w:pPr>
        <w:pStyle w:val="0"/>
        <w:outlineLvl w:val="2"/>
        <w:jc w:val="right"/>
      </w:pPr>
      <w:r>
        <w:rPr>
          <w:sz w:val="24"/>
        </w:rPr>
        <w:t xml:space="preserve">Таблица 2</w:t>
      </w:r>
    </w:p>
    <w:p>
      <w:pPr>
        <w:pStyle w:val="0"/>
        <w:jc w:val="both"/>
      </w:pPr>
      <w:r>
        <w:rPr>
          <w:sz w:val="24"/>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bottom w:val="single" w:sz="4"/>
        </w:tblBorders>
        <w:tblCellMar>
          <w:top w:w="102" w:type="dxa"/>
          <w:left w:w="62" w:type="dxa"/>
          <w:bottom w:w="102" w:type="dxa"/>
          <w:right w:w="62" w:type="dxa"/>
        </w:tblCellMar>
      </w:tblPr>
      <w:tblGrid>
        <w:gridCol w:w="4535"/>
        <w:gridCol w:w="825"/>
        <w:gridCol w:w="1191"/>
        <w:gridCol w:w="825"/>
        <w:gridCol w:w="1191"/>
        <w:gridCol w:w="825"/>
        <w:gridCol w:w="1191"/>
        <w:gridCol w:w="825"/>
        <w:gridCol w:w="1191"/>
      </w:tblGrid>
      <w:tr>
        <w:tblPrEx>
          <w:tblBorders>
            <w:insideV w:val="single" w:sz="4"/>
            <w:insideH w:val="single" w:sz="4"/>
          </w:tblBorders>
        </w:tblPrEx>
        <w:tc>
          <w:tcPr>
            <w:tcW w:w="4535" w:type="dxa"/>
            <w:tcBorders>
              <w:top w:val="single" w:sz="4"/>
              <w:left w:val="nil"/>
              <w:bottom w:val="single" w:sz="4"/>
            </w:tcBorders>
            <w:vMerge w:val="restart"/>
          </w:tcPr>
          <w:p>
            <w:pPr>
              <w:pStyle w:val="0"/>
              <w:jc w:val="center"/>
            </w:pPr>
            <w:r>
              <w:rPr>
                <w:sz w:val="24"/>
              </w:rPr>
              <w:t xml:space="preserve">Наименование показателя</w:t>
            </w:r>
          </w:p>
        </w:tc>
        <w:tc>
          <w:tcPr>
            <w:gridSpan w:val="8"/>
            <w:tcW w:w="8064" w:type="dxa"/>
            <w:tcBorders>
              <w:top w:val="single" w:sz="4"/>
              <w:bottom w:val="single" w:sz="4"/>
              <w:right w:val="nil"/>
            </w:tcBorders>
          </w:tcPr>
          <w:p>
            <w:pPr>
              <w:pStyle w:val="0"/>
              <w:jc w:val="center"/>
            </w:pPr>
            <w:r>
              <w:rPr>
                <w:sz w:val="24"/>
              </w:rPr>
              <w:t xml:space="preserve">Совокупные расходы на инвестирование накоплений для жилищного обеспечения военнослужащих за отчетный год</w:t>
            </w:r>
          </w:p>
        </w:tc>
      </w:tr>
      <w:tr>
        <w:tblPrEx>
          <w:tblBorders>
            <w:insideV w:val="single" w:sz="4"/>
            <w:insideH w:val="single" w:sz="4"/>
          </w:tblBorders>
        </w:tblPrEx>
        <w:tc>
          <w:tcPr>
            <w:tcBorders>
              <w:top w:val="single" w:sz="4"/>
              <w:left w:val="nil"/>
              <w:bottom w:val="single" w:sz="4"/>
            </w:tcBorders>
            <w:vMerge w:val="continue"/>
          </w:tcPr>
          <w:p/>
        </w:tc>
        <w:tc>
          <w:tcPr>
            <w:gridSpan w:val="2"/>
            <w:tcW w:w="2016" w:type="dxa"/>
            <w:tcBorders>
              <w:top w:val="single" w:sz="4"/>
              <w:bottom w:val="single" w:sz="4"/>
            </w:tcBorders>
            <w:vMerge w:val="restart"/>
          </w:tcPr>
          <w:p>
            <w:pPr>
              <w:pStyle w:val="0"/>
              <w:jc w:val="center"/>
            </w:pPr>
            <w:r>
              <w:rPr>
                <w:sz w:val="24"/>
              </w:rPr>
              <w:t xml:space="preserve">всего</w:t>
            </w:r>
          </w:p>
        </w:tc>
        <w:tc>
          <w:tcPr>
            <w:gridSpan w:val="6"/>
            <w:tcW w:w="6048" w:type="dxa"/>
            <w:tcBorders>
              <w:top w:val="single" w:sz="4"/>
              <w:bottom w:val="single" w:sz="4"/>
              <w:right w:val="nil"/>
            </w:tcBorders>
          </w:tcPr>
          <w:p>
            <w:pPr>
              <w:pStyle w:val="0"/>
              <w:jc w:val="center"/>
            </w:pPr>
            <w:r>
              <w:rPr>
                <w:sz w:val="24"/>
              </w:rPr>
              <w:t xml:space="preserve">в том числе</w:t>
            </w:r>
          </w:p>
        </w:tc>
      </w:tr>
      <w:tr>
        <w:tblPrEx>
          <w:tblBorders>
            <w:insideV w:val="single" w:sz="4"/>
            <w:insideH w:val="single" w:sz="4"/>
          </w:tblBorders>
        </w:tblPrEx>
        <w:tc>
          <w:tcPr>
            <w:tcBorders>
              <w:top w:val="single" w:sz="4"/>
              <w:left w:val="nil"/>
              <w:bottom w:val="single" w:sz="4"/>
            </w:tcBorders>
            <w:vMerge w:val="continue"/>
          </w:tcPr>
          <w:p/>
        </w:tc>
        <w:tc>
          <w:tcPr>
            <w:gridSpan w:val="2"/>
            <w:tcBorders>
              <w:top w:val="single" w:sz="4"/>
              <w:bottom w:val="single" w:sz="4"/>
            </w:tcBorders>
            <w:vMerge w:val="continue"/>
          </w:tcPr>
          <w:p/>
        </w:tc>
        <w:tc>
          <w:tcPr>
            <w:gridSpan w:val="2"/>
            <w:tcW w:w="2016" w:type="dxa"/>
            <w:tcBorders>
              <w:top w:val="single" w:sz="4"/>
              <w:bottom w:val="single" w:sz="4"/>
            </w:tcBorders>
          </w:tcPr>
          <w:p>
            <w:pPr>
              <w:pStyle w:val="0"/>
              <w:jc w:val="center"/>
            </w:pPr>
            <w:r>
              <w:rPr>
                <w:sz w:val="24"/>
              </w:rPr>
              <w:t xml:space="preserve">вознаграждение управляющих компаний</w:t>
            </w:r>
          </w:p>
        </w:tc>
        <w:tc>
          <w:tcPr>
            <w:gridSpan w:val="2"/>
            <w:tcW w:w="2016" w:type="dxa"/>
            <w:tcBorders>
              <w:top w:val="single" w:sz="4"/>
              <w:bottom w:val="single" w:sz="4"/>
            </w:tcBorders>
          </w:tcPr>
          <w:p>
            <w:pPr>
              <w:pStyle w:val="0"/>
              <w:jc w:val="center"/>
            </w:pPr>
            <w:r>
              <w:rPr>
                <w:sz w:val="24"/>
              </w:rPr>
              <w:t xml:space="preserve">необходимые расходы управляющих компаний (без учета оплаты услуг специализированного депозитария)</w:t>
            </w:r>
          </w:p>
        </w:tc>
        <w:tc>
          <w:tcPr>
            <w:gridSpan w:val="2"/>
            <w:tcW w:w="2016" w:type="dxa"/>
            <w:tcBorders>
              <w:top w:val="single" w:sz="4"/>
              <w:bottom w:val="single" w:sz="4"/>
              <w:right w:val="nil"/>
            </w:tcBorders>
          </w:tcPr>
          <w:p>
            <w:pPr>
              <w:pStyle w:val="0"/>
              <w:jc w:val="center"/>
            </w:pPr>
            <w:r>
              <w:rPr>
                <w:sz w:val="24"/>
              </w:rPr>
              <w:t xml:space="preserve">оплата услуг специализированного депозитария</w:t>
            </w:r>
          </w:p>
        </w:tc>
      </w:tr>
      <w:tr>
        <w:tblPrEx>
          <w:tblBorders>
            <w:insideV w:val="single" w:sz="4"/>
            <w:insideH w:val="single" w:sz="4"/>
          </w:tblBorders>
        </w:tblPrEx>
        <w:tc>
          <w:tcPr>
            <w:tcBorders>
              <w:top w:val="single" w:sz="4"/>
              <w:left w:val="nil"/>
              <w:bottom w:val="single" w:sz="4"/>
            </w:tcBorders>
            <w:vMerge w:val="continue"/>
          </w:tcPr>
          <w:p/>
        </w:tc>
        <w:tc>
          <w:tcPr>
            <w:tcW w:w="825" w:type="dxa"/>
            <w:tcBorders>
              <w:top w:val="single" w:sz="4"/>
              <w:bottom w:val="single" w:sz="4"/>
            </w:tcBorders>
          </w:tcPr>
          <w:p>
            <w:pPr>
              <w:pStyle w:val="0"/>
              <w:jc w:val="center"/>
            </w:pPr>
            <w:r>
              <w:rPr>
                <w:sz w:val="24"/>
              </w:rPr>
              <w:t xml:space="preserve">тыс. рублей</w:t>
            </w:r>
          </w:p>
        </w:tc>
        <w:tc>
          <w:tcPr>
            <w:tcW w:w="1191" w:type="dxa"/>
            <w:tcBorders>
              <w:top w:val="single" w:sz="4"/>
              <w:bottom w:val="single" w:sz="4"/>
            </w:tcBorders>
          </w:tcPr>
          <w:p>
            <w:pPr>
              <w:pStyle w:val="0"/>
              <w:jc w:val="center"/>
            </w:pPr>
            <w:r>
              <w:rPr>
                <w:sz w:val="24"/>
              </w:rPr>
              <w:t xml:space="preserve">процентов средней стоимости чистых активов </w:t>
            </w:r>
            <w:hyperlink w:history="0" w:anchor="P1065" w:tooltip="&lt;*&gt; Рассчитывается исходя из средней стоимости чистых активов инвестиционного портфеля (мандата).">
              <w:r>
                <w:rPr>
                  <w:sz w:val="24"/>
                  <w:color w:val="0000ff"/>
                </w:rPr>
                <w:t xml:space="preserve">&lt;*&gt;</w:t>
              </w:r>
            </w:hyperlink>
          </w:p>
        </w:tc>
        <w:tc>
          <w:tcPr>
            <w:tcW w:w="825" w:type="dxa"/>
            <w:tcBorders>
              <w:top w:val="single" w:sz="4"/>
              <w:bottom w:val="single" w:sz="4"/>
            </w:tcBorders>
          </w:tcPr>
          <w:p>
            <w:pPr>
              <w:pStyle w:val="0"/>
              <w:jc w:val="center"/>
            </w:pPr>
            <w:r>
              <w:rPr>
                <w:sz w:val="24"/>
              </w:rPr>
              <w:t xml:space="preserve">тыс. рублей</w:t>
            </w:r>
          </w:p>
        </w:tc>
        <w:tc>
          <w:tcPr>
            <w:tcW w:w="1191" w:type="dxa"/>
            <w:tcBorders>
              <w:top w:val="single" w:sz="4"/>
              <w:bottom w:val="single" w:sz="4"/>
            </w:tcBorders>
          </w:tcPr>
          <w:p>
            <w:pPr>
              <w:pStyle w:val="0"/>
              <w:jc w:val="center"/>
            </w:pPr>
            <w:r>
              <w:rPr>
                <w:sz w:val="24"/>
              </w:rPr>
              <w:t xml:space="preserve">процентов средней стоимости чистых активов </w:t>
            </w:r>
            <w:hyperlink w:history="0" w:anchor="P1065" w:tooltip="&lt;*&gt; Рассчитывается исходя из средней стоимости чистых активов инвестиционного портфеля (мандата).">
              <w:r>
                <w:rPr>
                  <w:sz w:val="24"/>
                  <w:color w:val="0000ff"/>
                </w:rPr>
                <w:t xml:space="preserve">&lt;*&gt;</w:t>
              </w:r>
            </w:hyperlink>
          </w:p>
        </w:tc>
        <w:tc>
          <w:tcPr>
            <w:tcW w:w="825" w:type="dxa"/>
            <w:tcBorders>
              <w:top w:val="single" w:sz="4"/>
              <w:bottom w:val="single" w:sz="4"/>
            </w:tcBorders>
          </w:tcPr>
          <w:p>
            <w:pPr>
              <w:pStyle w:val="0"/>
              <w:jc w:val="center"/>
            </w:pPr>
            <w:r>
              <w:rPr>
                <w:sz w:val="24"/>
              </w:rPr>
              <w:t xml:space="preserve">тыс. рублей</w:t>
            </w:r>
          </w:p>
        </w:tc>
        <w:tc>
          <w:tcPr>
            <w:tcW w:w="1191" w:type="dxa"/>
            <w:tcBorders>
              <w:top w:val="single" w:sz="4"/>
              <w:bottom w:val="single" w:sz="4"/>
            </w:tcBorders>
          </w:tcPr>
          <w:p>
            <w:pPr>
              <w:pStyle w:val="0"/>
              <w:jc w:val="center"/>
            </w:pPr>
            <w:r>
              <w:rPr>
                <w:sz w:val="24"/>
              </w:rPr>
              <w:t xml:space="preserve">процентов средней стоимости чистых активов </w:t>
            </w:r>
            <w:hyperlink w:history="0" w:anchor="P1065" w:tooltip="&lt;*&gt; Рассчитывается исходя из средней стоимости чистых активов инвестиционного портфеля (мандата).">
              <w:r>
                <w:rPr>
                  <w:sz w:val="24"/>
                  <w:color w:val="0000ff"/>
                </w:rPr>
                <w:t xml:space="preserve">&lt;*&gt;</w:t>
              </w:r>
            </w:hyperlink>
          </w:p>
        </w:tc>
        <w:tc>
          <w:tcPr>
            <w:tcW w:w="825" w:type="dxa"/>
            <w:tcBorders>
              <w:top w:val="single" w:sz="4"/>
              <w:bottom w:val="single" w:sz="4"/>
            </w:tcBorders>
          </w:tcPr>
          <w:p>
            <w:pPr>
              <w:pStyle w:val="0"/>
              <w:jc w:val="center"/>
            </w:pPr>
            <w:r>
              <w:rPr>
                <w:sz w:val="24"/>
              </w:rPr>
              <w:t xml:space="preserve">тыс. рублей</w:t>
            </w:r>
          </w:p>
        </w:tc>
        <w:tc>
          <w:tcPr>
            <w:tcW w:w="1191" w:type="dxa"/>
            <w:tcBorders>
              <w:top w:val="single" w:sz="4"/>
              <w:bottom w:val="single" w:sz="4"/>
              <w:right w:val="nil"/>
            </w:tcBorders>
          </w:tcPr>
          <w:p>
            <w:pPr>
              <w:pStyle w:val="0"/>
              <w:jc w:val="center"/>
            </w:pPr>
            <w:r>
              <w:rPr>
                <w:sz w:val="24"/>
              </w:rPr>
              <w:t xml:space="preserve">процентов средней стоимости чистых активов </w:t>
            </w:r>
            <w:hyperlink w:history="0" w:anchor="P1065" w:tooltip="&lt;*&gt; Рассчитывается исходя из средней стоимости чистых активов инвестиционного портфеля (мандата).">
              <w:r>
                <w:rPr>
                  <w:sz w:val="24"/>
                  <w:color w:val="0000ff"/>
                </w:rPr>
                <w:t xml:space="preserve">&lt;*&gt;</w:t>
              </w:r>
            </w:hyperlink>
          </w:p>
        </w:tc>
      </w:tr>
      <w:tr>
        <w:tc>
          <w:tcPr>
            <w:tcW w:w="4535" w:type="dxa"/>
            <w:tcBorders>
              <w:top w:val="single" w:sz="4"/>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825" w:type="dxa"/>
            <w:tcBorders>
              <w:top w:val="single" w:sz="4"/>
              <w:left w:val="nil"/>
              <w:bottom w:val="nil"/>
              <w:right w:val="nil"/>
            </w:tcBorders>
          </w:tcPr>
          <w:p>
            <w:pPr>
              <w:pStyle w:val="0"/>
              <w:jc w:val="both"/>
            </w:pPr>
            <w:r>
              <w:rPr>
                <w:sz w:val="24"/>
              </w:rPr>
            </w:r>
          </w:p>
        </w:tc>
        <w:tc>
          <w:tcPr>
            <w:tcW w:w="1191" w:type="dxa"/>
            <w:tcBorders>
              <w:top w:val="single" w:sz="4"/>
              <w:left w:val="nil"/>
              <w:bottom w:val="nil"/>
              <w:right w:val="nil"/>
            </w:tcBorders>
          </w:tcPr>
          <w:p>
            <w:pPr>
              <w:pStyle w:val="0"/>
              <w:jc w:val="both"/>
            </w:pPr>
            <w:r>
              <w:rPr>
                <w:sz w:val="24"/>
              </w:rPr>
            </w:r>
          </w:p>
        </w:tc>
        <w:tc>
          <w:tcPr>
            <w:tcW w:w="825" w:type="dxa"/>
            <w:tcBorders>
              <w:top w:val="single" w:sz="4"/>
              <w:left w:val="nil"/>
              <w:bottom w:val="nil"/>
              <w:right w:val="nil"/>
            </w:tcBorders>
          </w:tcPr>
          <w:p>
            <w:pPr>
              <w:pStyle w:val="0"/>
              <w:jc w:val="both"/>
            </w:pPr>
            <w:r>
              <w:rPr>
                <w:sz w:val="24"/>
              </w:rPr>
            </w:r>
          </w:p>
        </w:tc>
        <w:tc>
          <w:tcPr>
            <w:tcW w:w="1191" w:type="dxa"/>
            <w:tcBorders>
              <w:top w:val="single" w:sz="4"/>
              <w:left w:val="nil"/>
              <w:bottom w:val="nil"/>
              <w:right w:val="nil"/>
            </w:tcBorders>
          </w:tcPr>
          <w:p>
            <w:pPr>
              <w:pStyle w:val="0"/>
              <w:jc w:val="both"/>
            </w:pPr>
            <w:r>
              <w:rPr>
                <w:sz w:val="24"/>
              </w:rPr>
            </w:r>
          </w:p>
        </w:tc>
        <w:tc>
          <w:tcPr>
            <w:tcW w:w="825" w:type="dxa"/>
            <w:tcBorders>
              <w:top w:val="single" w:sz="4"/>
              <w:left w:val="nil"/>
              <w:bottom w:val="nil"/>
              <w:right w:val="nil"/>
            </w:tcBorders>
          </w:tcPr>
          <w:p>
            <w:pPr>
              <w:pStyle w:val="0"/>
              <w:jc w:val="both"/>
            </w:pPr>
            <w:r>
              <w:rPr>
                <w:sz w:val="24"/>
              </w:rPr>
            </w:r>
          </w:p>
        </w:tc>
        <w:tc>
          <w:tcPr>
            <w:tcW w:w="1191" w:type="dxa"/>
            <w:tcBorders>
              <w:top w:val="single" w:sz="4"/>
              <w:left w:val="nil"/>
              <w:bottom w:val="nil"/>
              <w:right w:val="nil"/>
            </w:tcBorders>
          </w:tcPr>
          <w:p>
            <w:pPr>
              <w:pStyle w:val="0"/>
              <w:jc w:val="both"/>
            </w:pPr>
            <w:r>
              <w:rPr>
                <w:sz w:val="24"/>
              </w:rPr>
            </w:r>
          </w:p>
        </w:tc>
        <w:tc>
          <w:tcPr>
            <w:tcW w:w="825" w:type="dxa"/>
            <w:tcBorders>
              <w:top w:val="single" w:sz="4"/>
              <w:left w:val="nil"/>
              <w:bottom w:val="nil"/>
              <w:right w:val="nil"/>
            </w:tcBorders>
          </w:tcPr>
          <w:p>
            <w:pPr>
              <w:pStyle w:val="0"/>
              <w:jc w:val="both"/>
            </w:pPr>
            <w:r>
              <w:rPr>
                <w:sz w:val="24"/>
              </w:rPr>
            </w:r>
          </w:p>
        </w:tc>
        <w:tc>
          <w:tcPr>
            <w:tcW w:w="1191" w:type="dxa"/>
            <w:tcBorders>
              <w:top w:val="single" w:sz="4"/>
              <w:left w:val="nil"/>
              <w:bottom w:val="nil"/>
              <w:right w:val="nil"/>
            </w:tcBorders>
          </w:tcPr>
          <w:p>
            <w:pPr>
              <w:pStyle w:val="0"/>
              <w:jc w:val="both"/>
            </w:pPr>
            <w:r>
              <w:rPr>
                <w:sz w:val="24"/>
              </w:rPr>
            </w:r>
          </w:p>
        </w:tc>
      </w:tr>
      <w:tr>
        <w:tc>
          <w:tcPr>
            <w:tcW w:w="4535"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r>
      <w:tr>
        <w:tc>
          <w:tcPr>
            <w:tcW w:w="4535" w:type="dxa"/>
            <w:tcBorders>
              <w:top w:val="nil"/>
              <w:left w:val="nil"/>
              <w:bottom w:val="nil"/>
              <w:right w:val="nil"/>
            </w:tcBorders>
          </w:tcPr>
          <w:p>
            <w:pPr>
              <w:pStyle w:val="0"/>
            </w:pPr>
            <w:r>
              <w:rPr>
                <w:sz w:val="24"/>
              </w:rPr>
              <w:t xml:space="preserve">...</w:t>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r>
      <w:tr>
        <w:tc>
          <w:tcPr>
            <w:tcW w:w="4535" w:type="dxa"/>
            <w:tcBorders>
              <w:top w:val="nil"/>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r>
      <w:tr>
        <w:tc>
          <w:tcPr>
            <w:tcW w:w="4535"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r>
      <w:tr>
        <w:tc>
          <w:tcPr>
            <w:tcW w:w="4535" w:type="dxa"/>
            <w:tcBorders>
              <w:top w:val="nil"/>
              <w:left w:val="nil"/>
              <w:bottom w:val="nil"/>
              <w:right w:val="nil"/>
            </w:tcBorders>
          </w:tcPr>
          <w:p>
            <w:pPr>
              <w:pStyle w:val="0"/>
            </w:pPr>
            <w:r>
              <w:rPr>
                <w:sz w:val="24"/>
              </w:rPr>
              <w:t xml:space="preserve">...</w:t>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r>
      <w:tr>
        <w:tc>
          <w:tcPr>
            <w:tcW w:w="4535" w:type="dxa"/>
            <w:tcBorders>
              <w:top w:val="nil"/>
              <w:left w:val="nil"/>
              <w:bottom w:val="nil"/>
              <w:right w:val="nil"/>
            </w:tcBorders>
          </w:tcPr>
          <w:p>
            <w:pPr>
              <w:pStyle w:val="0"/>
            </w:pPr>
            <w:r>
              <w:rPr>
                <w:sz w:val="24"/>
              </w:rPr>
              <w:t xml:space="preserve">Инвестиционный мандат (указываются данные, идентифицирующие инвестиционный мандат)</w:t>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r>
      <w:tr>
        <w:tc>
          <w:tcPr>
            <w:tcW w:w="4535" w:type="dxa"/>
            <w:tcBorders>
              <w:top w:val="nil"/>
              <w:left w:val="nil"/>
              <w:bottom w:val="nil"/>
              <w:right w:val="nil"/>
            </w:tcBorders>
          </w:tcPr>
          <w:p>
            <w:pPr>
              <w:pStyle w:val="0"/>
              <w:ind w:left="283"/>
            </w:pPr>
            <w:r>
              <w:rPr>
                <w:sz w:val="24"/>
              </w:rPr>
              <w:t xml:space="preserve">в том числе (с разбивкой по инвестиционным портфелям управляющих компаний):</w:t>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c>
          <w:tcPr>
            <w:tcW w:w="825" w:type="dxa"/>
            <w:tcBorders>
              <w:top w:val="nil"/>
              <w:left w:val="nil"/>
              <w:bottom w:val="nil"/>
              <w:right w:val="nil"/>
            </w:tcBorders>
          </w:tcPr>
          <w:p>
            <w:pPr>
              <w:pStyle w:val="0"/>
              <w:jc w:val="both"/>
            </w:pPr>
            <w:r>
              <w:rPr>
                <w:sz w:val="24"/>
              </w:rPr>
            </w:r>
          </w:p>
        </w:tc>
        <w:tc>
          <w:tcPr>
            <w:tcW w:w="1191" w:type="dxa"/>
            <w:tcBorders>
              <w:top w:val="nil"/>
              <w:left w:val="nil"/>
              <w:bottom w:val="nil"/>
              <w:right w:val="nil"/>
            </w:tcBorders>
          </w:tcPr>
          <w:p>
            <w:pPr>
              <w:pStyle w:val="0"/>
              <w:jc w:val="both"/>
            </w:pPr>
            <w:r>
              <w:rPr>
                <w:sz w:val="24"/>
              </w:rPr>
            </w:r>
          </w:p>
        </w:tc>
      </w:tr>
      <w:tr>
        <w:tc>
          <w:tcPr>
            <w:tcW w:w="4535" w:type="dxa"/>
            <w:tcBorders>
              <w:top w:val="nil"/>
              <w:left w:val="nil"/>
              <w:bottom w:val="single" w:sz="4"/>
              <w:right w:val="nil"/>
            </w:tcBorders>
          </w:tcPr>
          <w:p>
            <w:pPr>
              <w:pStyle w:val="0"/>
            </w:pPr>
            <w:r>
              <w:rPr>
                <w:sz w:val="24"/>
              </w:rPr>
              <w:t xml:space="preserve">...</w:t>
            </w:r>
          </w:p>
        </w:tc>
        <w:tc>
          <w:tcPr>
            <w:tcW w:w="825" w:type="dxa"/>
            <w:tcBorders>
              <w:top w:val="nil"/>
              <w:left w:val="nil"/>
              <w:bottom w:val="single" w:sz="4"/>
              <w:right w:val="nil"/>
            </w:tcBorders>
          </w:tcPr>
          <w:p>
            <w:pPr>
              <w:pStyle w:val="0"/>
              <w:jc w:val="both"/>
            </w:pPr>
            <w:r>
              <w:rPr>
                <w:sz w:val="24"/>
              </w:rPr>
            </w:r>
          </w:p>
        </w:tc>
        <w:tc>
          <w:tcPr>
            <w:tcW w:w="1191" w:type="dxa"/>
            <w:tcBorders>
              <w:top w:val="nil"/>
              <w:left w:val="nil"/>
              <w:bottom w:val="single" w:sz="4"/>
              <w:right w:val="nil"/>
            </w:tcBorders>
          </w:tcPr>
          <w:p>
            <w:pPr>
              <w:pStyle w:val="0"/>
              <w:jc w:val="both"/>
            </w:pPr>
            <w:r>
              <w:rPr>
                <w:sz w:val="24"/>
              </w:rPr>
            </w:r>
          </w:p>
        </w:tc>
        <w:tc>
          <w:tcPr>
            <w:tcW w:w="825" w:type="dxa"/>
            <w:tcBorders>
              <w:top w:val="nil"/>
              <w:left w:val="nil"/>
              <w:bottom w:val="single" w:sz="4"/>
              <w:right w:val="nil"/>
            </w:tcBorders>
          </w:tcPr>
          <w:p>
            <w:pPr>
              <w:pStyle w:val="0"/>
              <w:jc w:val="both"/>
            </w:pPr>
            <w:r>
              <w:rPr>
                <w:sz w:val="24"/>
              </w:rPr>
            </w:r>
          </w:p>
        </w:tc>
        <w:tc>
          <w:tcPr>
            <w:tcW w:w="1191" w:type="dxa"/>
            <w:tcBorders>
              <w:top w:val="nil"/>
              <w:left w:val="nil"/>
              <w:bottom w:val="single" w:sz="4"/>
              <w:right w:val="nil"/>
            </w:tcBorders>
          </w:tcPr>
          <w:p>
            <w:pPr>
              <w:pStyle w:val="0"/>
              <w:jc w:val="both"/>
            </w:pPr>
            <w:r>
              <w:rPr>
                <w:sz w:val="24"/>
              </w:rPr>
            </w:r>
          </w:p>
        </w:tc>
        <w:tc>
          <w:tcPr>
            <w:tcW w:w="825" w:type="dxa"/>
            <w:tcBorders>
              <w:top w:val="nil"/>
              <w:left w:val="nil"/>
              <w:bottom w:val="single" w:sz="4"/>
              <w:right w:val="nil"/>
            </w:tcBorders>
          </w:tcPr>
          <w:p>
            <w:pPr>
              <w:pStyle w:val="0"/>
              <w:jc w:val="both"/>
            </w:pPr>
            <w:r>
              <w:rPr>
                <w:sz w:val="24"/>
              </w:rPr>
            </w:r>
          </w:p>
        </w:tc>
        <w:tc>
          <w:tcPr>
            <w:tcW w:w="1191" w:type="dxa"/>
            <w:tcBorders>
              <w:top w:val="nil"/>
              <w:left w:val="nil"/>
              <w:bottom w:val="single" w:sz="4"/>
              <w:right w:val="nil"/>
            </w:tcBorders>
          </w:tcPr>
          <w:p>
            <w:pPr>
              <w:pStyle w:val="0"/>
              <w:jc w:val="both"/>
            </w:pPr>
            <w:r>
              <w:rPr>
                <w:sz w:val="24"/>
              </w:rPr>
            </w:r>
          </w:p>
        </w:tc>
        <w:tc>
          <w:tcPr>
            <w:tcW w:w="825" w:type="dxa"/>
            <w:tcBorders>
              <w:top w:val="nil"/>
              <w:left w:val="nil"/>
              <w:bottom w:val="single" w:sz="4"/>
              <w:right w:val="nil"/>
            </w:tcBorders>
          </w:tcPr>
          <w:p>
            <w:pPr>
              <w:pStyle w:val="0"/>
              <w:jc w:val="both"/>
            </w:pPr>
            <w:r>
              <w:rPr>
                <w:sz w:val="24"/>
              </w:rPr>
            </w:r>
          </w:p>
        </w:tc>
        <w:tc>
          <w:tcPr>
            <w:tcW w:w="1191" w:type="dxa"/>
            <w:tcBorders>
              <w:top w:val="nil"/>
              <w:left w:val="nil"/>
              <w:bottom w:val="single" w:sz="4"/>
              <w:right w:val="nil"/>
            </w:tcBorders>
          </w:tcPr>
          <w:p>
            <w:pPr>
              <w:pStyle w:val="0"/>
              <w:jc w:val="both"/>
            </w:pPr>
            <w:r>
              <w:rPr>
                <w:sz w:val="24"/>
              </w:rPr>
            </w:r>
          </w:p>
        </w:tc>
      </w:tr>
    </w:tbl>
    <w:p>
      <w:pPr>
        <w:sectPr>
          <w:headerReference w:type="default" r:id="rId244"/>
          <w:headerReference w:type="first" r:id="rId244"/>
          <w:footerReference w:type="default" r:id="rId245"/>
          <w:footerReference w:type="first" r:id="rId245"/>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w:t>
      </w:r>
    </w:p>
    <w:bookmarkStart w:id="1065" w:name="P1065"/>
    <w:bookmarkEnd w:id="1065"/>
    <w:p>
      <w:pPr>
        <w:pStyle w:val="0"/>
        <w:spacing w:before="240" w:line-rule="auto"/>
        <w:ind w:firstLine="540"/>
        <w:jc w:val="both"/>
      </w:pPr>
      <w:r>
        <w:rPr>
          <w:sz w:val="24"/>
        </w:rPr>
        <w:t xml:space="preserve">&lt;*&gt; Рассчитывается исходя из средней стоимости чистых активов инвестиционного портфеля (мандата).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7</w:t>
      </w:r>
    </w:p>
    <w:p>
      <w:pPr>
        <w:pStyle w:val="0"/>
        <w:jc w:val="right"/>
      </w:pPr>
      <w:r>
        <w:rPr>
          <w:sz w:val="24"/>
        </w:rPr>
        <w:t xml:space="preserve">к Правилам раскрытия информации</w:t>
      </w:r>
    </w:p>
    <w:p>
      <w:pPr>
        <w:pStyle w:val="0"/>
        <w:jc w:val="right"/>
      </w:pPr>
      <w:r>
        <w:rPr>
          <w:sz w:val="24"/>
        </w:rPr>
        <w:t xml:space="preserve">о формировании, об инвестировании</w:t>
      </w:r>
    </w:p>
    <w:p>
      <w:pPr>
        <w:pStyle w:val="0"/>
        <w:jc w:val="right"/>
      </w:pPr>
      <w:r>
        <w:rPr>
          <w:sz w:val="24"/>
        </w:rPr>
        <w:t xml:space="preserve">и использовании накоплений</w:t>
      </w:r>
    </w:p>
    <w:p>
      <w:pPr>
        <w:pStyle w:val="0"/>
        <w:jc w:val="right"/>
      </w:pPr>
      <w:r>
        <w:rPr>
          <w:sz w:val="24"/>
        </w:rPr>
        <w:t xml:space="preserve">для жилищного обеспечения</w:t>
      </w:r>
    </w:p>
    <w:p>
      <w:pPr>
        <w:pStyle w:val="0"/>
        <w:jc w:val="right"/>
      </w:pPr>
      <w:r>
        <w:rPr>
          <w:sz w:val="24"/>
        </w:rPr>
        <w:t xml:space="preserve">военнослужащих</w:t>
      </w:r>
    </w:p>
    <w:p>
      <w:pPr>
        <w:pStyle w:val="0"/>
        <w:ind w:firstLine="540"/>
        <w:jc w:val="both"/>
      </w:pPr>
      <w:r>
        <w:rPr>
          <w:sz w:val="24"/>
        </w:rPr>
      </w:r>
    </w:p>
    <w:bookmarkStart w:id="1078" w:name="P1078"/>
    <w:bookmarkEnd w:id="1078"/>
    <w:p>
      <w:pPr>
        <w:pStyle w:val="0"/>
        <w:jc w:val="center"/>
      </w:pPr>
      <w:r>
        <w:rPr>
          <w:sz w:val="24"/>
        </w:rPr>
        <w:t xml:space="preserve">СВЕДЕНИЯ </w:t>
      </w:r>
      <w:hyperlink w:history="0" w:anchor="P1109" w:tooltip="&lt;*&gt; Представленная информация действительна в отношении участников, не воспользовавшихся целевым жилищным займом и не использовавших накопления для жилищного обеспечения.">
        <w:r>
          <w:rPr>
            <w:sz w:val="24"/>
            <w:color w:val="0000ff"/>
          </w:rPr>
          <w:t xml:space="preserve">&lt;*&gt;</w:t>
        </w:r>
      </w:hyperlink>
    </w:p>
    <w:p>
      <w:pPr>
        <w:pStyle w:val="0"/>
        <w:jc w:val="center"/>
      </w:pPr>
      <w:r>
        <w:rPr>
          <w:sz w:val="24"/>
        </w:rPr>
        <w:t xml:space="preserve">О СРЕДСТВАХ, УЧТЕННЫХ НА ИМЕННЫХ НАКОПИТЕЛЬНЫХ СЧЕТАХ</w:t>
      </w:r>
    </w:p>
    <w:p>
      <w:pPr>
        <w:pStyle w:val="0"/>
        <w:jc w:val="center"/>
      </w:pPr>
      <w:r>
        <w:rPr>
          <w:sz w:val="24"/>
        </w:rPr>
        <w:t xml:space="preserve">УЧАСТНИКОВ НАКОПИТЕЛЬНО-ИПОТЕЧНОЙ СИСТЕМЫ</w:t>
      </w:r>
    </w:p>
    <w:p>
      <w:pPr>
        <w:pStyle w:val="0"/>
        <w:ind w:firstLine="540"/>
        <w:jc w:val="both"/>
      </w:pPr>
      <w:r>
        <w:rPr>
          <w:sz w:val="24"/>
        </w:rPr>
      </w:r>
    </w:p>
    <w:p>
      <w:pPr>
        <w:pStyle w:val="0"/>
        <w:jc w:val="right"/>
      </w:pPr>
      <w:r>
        <w:rPr>
          <w:sz w:val="24"/>
        </w:rPr>
        <w:t xml:space="preserve">(тыс. рублей)</w:t>
      </w:r>
    </w:p>
    <w:p>
      <w:pPr>
        <w:spacing w:before="0"/>
        <w:spacing w:after="1"/>
      </w:pPr>
    </w:p>
    <w:tbl>
      <w:tblPr>
        <w:tblInd w:w="0" w:type="dxa"/>
        <w:tblLayout w:type="fixed"/>
        <w:tblBorders>
          <w:top w:val="single" w:sz="4"/>
          <w:bottom w:val="single" w:sz="4"/>
        </w:tblBorders>
        <w:tblCellMar>
          <w:top w:w="102" w:type="dxa"/>
          <w:left w:w="62" w:type="dxa"/>
          <w:bottom w:w="102" w:type="dxa"/>
          <w:right w:w="62" w:type="dxa"/>
        </w:tblCellMar>
      </w:tblPr>
      <w:tblGrid>
        <w:gridCol w:w="624"/>
        <w:gridCol w:w="2310"/>
        <w:gridCol w:w="1531"/>
        <w:gridCol w:w="1417"/>
        <w:gridCol w:w="1644"/>
        <w:gridCol w:w="1474"/>
      </w:tblGrid>
      <w:tr>
        <w:tblPrEx>
          <w:tblBorders>
            <w:insideV w:val="single" w:sz="4"/>
            <w:insideH w:val="single" w:sz="4"/>
          </w:tblBorders>
        </w:tblPrEx>
        <w:tc>
          <w:tcPr>
            <w:tcW w:w="624" w:type="dxa"/>
            <w:tcBorders>
              <w:top w:val="single" w:sz="4"/>
              <w:left w:val="nil"/>
              <w:bottom w:val="single" w:sz="4"/>
            </w:tcBorders>
          </w:tcPr>
          <w:p>
            <w:pPr>
              <w:pStyle w:val="0"/>
              <w:jc w:val="center"/>
            </w:pPr>
            <w:r>
              <w:rPr>
                <w:sz w:val="24"/>
              </w:rPr>
              <w:t xml:space="preserve">N п/п</w:t>
            </w:r>
          </w:p>
        </w:tc>
        <w:tc>
          <w:tcPr>
            <w:tcW w:w="2310" w:type="dxa"/>
            <w:tcBorders>
              <w:top w:val="single" w:sz="4"/>
              <w:bottom w:val="single" w:sz="4"/>
            </w:tcBorders>
          </w:tcPr>
          <w:p>
            <w:pPr>
              <w:pStyle w:val="0"/>
              <w:jc w:val="center"/>
            </w:pPr>
            <w:r>
              <w:rPr>
                <w:sz w:val="24"/>
              </w:rPr>
              <w:t xml:space="preserve">Месяц и год возникновения основания для включения в реестр</w:t>
            </w:r>
          </w:p>
        </w:tc>
        <w:tc>
          <w:tcPr>
            <w:tcW w:w="1531" w:type="dxa"/>
            <w:tcBorders>
              <w:top w:val="single" w:sz="4"/>
              <w:bottom w:val="single" w:sz="4"/>
            </w:tcBorders>
          </w:tcPr>
          <w:p>
            <w:pPr>
              <w:pStyle w:val="0"/>
              <w:jc w:val="center"/>
            </w:pPr>
            <w:r>
              <w:rPr>
                <w:sz w:val="24"/>
              </w:rPr>
              <w:t xml:space="preserve">Накопления - всего</w:t>
            </w:r>
          </w:p>
        </w:tc>
        <w:tc>
          <w:tcPr>
            <w:tcW w:w="1417" w:type="dxa"/>
            <w:tcBorders>
              <w:top w:val="single" w:sz="4"/>
              <w:bottom w:val="single" w:sz="4"/>
            </w:tcBorders>
          </w:tcPr>
          <w:p>
            <w:pPr>
              <w:pStyle w:val="0"/>
              <w:jc w:val="center"/>
            </w:pPr>
            <w:r>
              <w:rPr>
                <w:sz w:val="24"/>
              </w:rPr>
              <w:t xml:space="preserve">Накопительные взносы</w:t>
            </w:r>
          </w:p>
        </w:tc>
        <w:tc>
          <w:tcPr>
            <w:tcW w:w="1644" w:type="dxa"/>
            <w:tcBorders>
              <w:top w:val="single" w:sz="4"/>
              <w:bottom w:val="single" w:sz="4"/>
            </w:tcBorders>
          </w:tcPr>
          <w:p>
            <w:pPr>
              <w:pStyle w:val="0"/>
              <w:jc w:val="center"/>
            </w:pPr>
            <w:r>
              <w:rPr>
                <w:sz w:val="24"/>
              </w:rPr>
              <w:t xml:space="preserve">Инвестиционный доход </w:t>
            </w:r>
            <w:hyperlink w:history="0" w:anchor="P1110" w:tooltip="&lt;**&gt; Указана сумма доходов от инвестирования, учтенная на именных накопительных счетах участников за весь период до отчетной даты.">
              <w:r>
                <w:rPr>
                  <w:sz w:val="24"/>
                  <w:color w:val="0000ff"/>
                </w:rPr>
                <w:t xml:space="preserve">&lt;**&gt;</w:t>
              </w:r>
            </w:hyperlink>
          </w:p>
        </w:tc>
        <w:tc>
          <w:tcPr>
            <w:tcW w:w="1474" w:type="dxa"/>
            <w:tcBorders>
              <w:top w:val="single" w:sz="4"/>
              <w:bottom w:val="single" w:sz="4"/>
              <w:right w:val="nil"/>
            </w:tcBorders>
          </w:tcPr>
          <w:p>
            <w:pPr>
              <w:pStyle w:val="0"/>
              <w:jc w:val="center"/>
            </w:pPr>
            <w:r>
              <w:rPr>
                <w:sz w:val="24"/>
              </w:rPr>
              <w:t xml:space="preserve">Прочие поступления</w:t>
            </w:r>
          </w:p>
        </w:tc>
      </w:tr>
      <w:tr>
        <w:tc>
          <w:tcPr>
            <w:tcW w:w="624" w:type="dxa"/>
            <w:tcBorders>
              <w:top w:val="single" w:sz="4"/>
              <w:left w:val="nil"/>
              <w:bottom w:val="nil"/>
              <w:right w:val="nil"/>
            </w:tcBorders>
          </w:tcPr>
          <w:p>
            <w:pPr>
              <w:pStyle w:val="0"/>
              <w:jc w:val="center"/>
            </w:pPr>
            <w:r>
              <w:rPr>
                <w:sz w:val="24"/>
              </w:rPr>
              <w:t xml:space="preserve">1</w:t>
            </w:r>
          </w:p>
        </w:tc>
        <w:tc>
          <w:tcPr>
            <w:tcW w:w="2310" w:type="dxa"/>
            <w:tcBorders>
              <w:top w:val="single" w:sz="4"/>
              <w:left w:val="nil"/>
              <w:bottom w:val="nil"/>
              <w:right w:val="nil"/>
            </w:tcBorders>
          </w:tcPr>
          <w:p>
            <w:pPr>
              <w:pStyle w:val="0"/>
              <w:jc w:val="both"/>
            </w:pPr>
            <w:r>
              <w:rPr>
                <w:sz w:val="24"/>
              </w:rPr>
            </w:r>
          </w:p>
        </w:tc>
        <w:tc>
          <w:tcPr>
            <w:tcW w:w="1531" w:type="dxa"/>
            <w:tcBorders>
              <w:top w:val="single" w:sz="4"/>
              <w:left w:val="nil"/>
              <w:bottom w:val="nil"/>
              <w:right w:val="nil"/>
            </w:tcBorders>
          </w:tcPr>
          <w:p>
            <w:pPr>
              <w:pStyle w:val="0"/>
              <w:jc w:val="both"/>
            </w:pPr>
            <w:r>
              <w:rPr>
                <w:sz w:val="24"/>
              </w:rPr>
            </w:r>
          </w:p>
        </w:tc>
        <w:tc>
          <w:tcPr>
            <w:tcW w:w="1417" w:type="dxa"/>
            <w:tcBorders>
              <w:top w:val="single" w:sz="4"/>
              <w:left w:val="nil"/>
              <w:bottom w:val="nil"/>
              <w:right w:val="nil"/>
            </w:tcBorders>
          </w:tcPr>
          <w:p>
            <w:pPr>
              <w:pStyle w:val="0"/>
              <w:jc w:val="both"/>
            </w:pPr>
            <w:r>
              <w:rPr>
                <w:sz w:val="24"/>
              </w:rPr>
            </w:r>
          </w:p>
        </w:tc>
        <w:tc>
          <w:tcPr>
            <w:tcW w:w="1644" w:type="dxa"/>
            <w:tcBorders>
              <w:top w:val="single" w:sz="4"/>
              <w:left w:val="nil"/>
              <w:bottom w:val="nil"/>
              <w:right w:val="nil"/>
            </w:tcBorders>
          </w:tcPr>
          <w:p>
            <w:pPr>
              <w:pStyle w:val="0"/>
              <w:jc w:val="both"/>
            </w:pPr>
            <w:r>
              <w:rPr>
                <w:sz w:val="24"/>
              </w:rPr>
            </w:r>
          </w:p>
        </w:tc>
        <w:tc>
          <w:tcPr>
            <w:tcW w:w="1474" w:type="dxa"/>
            <w:tcBorders>
              <w:top w:val="single" w:sz="4"/>
              <w:left w:val="nil"/>
              <w:bottom w:val="nil"/>
              <w:right w:val="nil"/>
            </w:tcBorders>
          </w:tcPr>
          <w:p>
            <w:pPr>
              <w:pStyle w:val="0"/>
              <w:jc w:val="both"/>
            </w:pPr>
            <w:r>
              <w:rPr>
                <w:sz w:val="24"/>
              </w:rPr>
            </w:r>
          </w:p>
        </w:tc>
      </w:tr>
      <w:tr>
        <w:tc>
          <w:tcPr>
            <w:tcW w:w="624" w:type="dxa"/>
            <w:tcBorders>
              <w:top w:val="nil"/>
              <w:left w:val="nil"/>
              <w:bottom w:val="nil"/>
              <w:right w:val="nil"/>
            </w:tcBorders>
          </w:tcPr>
          <w:p>
            <w:pPr>
              <w:pStyle w:val="0"/>
              <w:jc w:val="center"/>
            </w:pPr>
            <w:r>
              <w:rPr>
                <w:sz w:val="24"/>
              </w:rPr>
              <w:t xml:space="preserve">2</w:t>
            </w:r>
          </w:p>
        </w:tc>
        <w:tc>
          <w:tcPr>
            <w:tcW w:w="2310" w:type="dxa"/>
            <w:tcBorders>
              <w:top w:val="nil"/>
              <w:left w:val="nil"/>
              <w:bottom w:val="nil"/>
              <w:right w:val="nil"/>
            </w:tcBorders>
          </w:tcPr>
          <w:p>
            <w:pPr>
              <w:pStyle w:val="0"/>
              <w:jc w:val="both"/>
            </w:pPr>
            <w:r>
              <w:rPr>
                <w:sz w:val="24"/>
              </w:rPr>
            </w:r>
          </w:p>
        </w:tc>
        <w:tc>
          <w:tcPr>
            <w:tcW w:w="1531" w:type="dxa"/>
            <w:tcBorders>
              <w:top w:val="nil"/>
              <w:left w:val="nil"/>
              <w:bottom w:val="nil"/>
              <w:right w:val="nil"/>
            </w:tcBorders>
          </w:tcPr>
          <w:p>
            <w:pPr>
              <w:pStyle w:val="0"/>
              <w:jc w:val="both"/>
            </w:pPr>
            <w:r>
              <w:rPr>
                <w:sz w:val="24"/>
              </w:rPr>
            </w:r>
          </w:p>
        </w:tc>
        <w:tc>
          <w:tcPr>
            <w:tcW w:w="1417" w:type="dxa"/>
            <w:tcBorders>
              <w:top w:val="nil"/>
              <w:left w:val="nil"/>
              <w:bottom w:val="nil"/>
              <w:right w:val="nil"/>
            </w:tcBorders>
          </w:tcPr>
          <w:p>
            <w:pPr>
              <w:pStyle w:val="0"/>
              <w:jc w:val="both"/>
            </w:pPr>
            <w:r>
              <w:rPr>
                <w:sz w:val="24"/>
              </w:rPr>
            </w:r>
          </w:p>
        </w:tc>
        <w:tc>
          <w:tcPr>
            <w:tcW w:w="1644" w:type="dxa"/>
            <w:tcBorders>
              <w:top w:val="nil"/>
              <w:left w:val="nil"/>
              <w:bottom w:val="nil"/>
              <w:right w:val="nil"/>
            </w:tcBorders>
          </w:tcPr>
          <w:p>
            <w:pPr>
              <w:pStyle w:val="0"/>
              <w:jc w:val="both"/>
            </w:pPr>
            <w:r>
              <w:rPr>
                <w:sz w:val="24"/>
              </w:rPr>
            </w:r>
          </w:p>
        </w:tc>
        <w:tc>
          <w:tcPr>
            <w:tcW w:w="1474" w:type="dxa"/>
            <w:tcBorders>
              <w:top w:val="nil"/>
              <w:left w:val="nil"/>
              <w:bottom w:val="nil"/>
              <w:right w:val="nil"/>
            </w:tcBorders>
          </w:tcPr>
          <w:p>
            <w:pPr>
              <w:pStyle w:val="0"/>
              <w:jc w:val="both"/>
            </w:pPr>
            <w:r>
              <w:rPr>
                <w:sz w:val="24"/>
              </w:rPr>
            </w:r>
          </w:p>
        </w:tc>
      </w:tr>
      <w:tr>
        <w:tc>
          <w:tcPr>
            <w:tcW w:w="624" w:type="dxa"/>
            <w:tcBorders>
              <w:top w:val="nil"/>
              <w:left w:val="nil"/>
              <w:bottom w:val="single" w:sz="4"/>
              <w:right w:val="nil"/>
            </w:tcBorders>
          </w:tcPr>
          <w:p>
            <w:pPr>
              <w:pStyle w:val="0"/>
              <w:jc w:val="center"/>
            </w:pPr>
            <w:r>
              <w:rPr>
                <w:sz w:val="24"/>
              </w:rPr>
              <w:t xml:space="preserve">3</w:t>
            </w:r>
          </w:p>
        </w:tc>
        <w:tc>
          <w:tcPr>
            <w:tcW w:w="2310" w:type="dxa"/>
            <w:tcBorders>
              <w:top w:val="nil"/>
              <w:left w:val="nil"/>
              <w:bottom w:val="single" w:sz="4"/>
              <w:right w:val="nil"/>
            </w:tcBorders>
          </w:tcPr>
          <w:p>
            <w:pPr>
              <w:pStyle w:val="0"/>
              <w:jc w:val="both"/>
            </w:pPr>
            <w:r>
              <w:rPr>
                <w:sz w:val="24"/>
              </w:rPr>
            </w:r>
          </w:p>
        </w:tc>
        <w:tc>
          <w:tcPr>
            <w:tcW w:w="1531" w:type="dxa"/>
            <w:tcBorders>
              <w:top w:val="nil"/>
              <w:left w:val="nil"/>
              <w:bottom w:val="single" w:sz="4"/>
              <w:right w:val="nil"/>
            </w:tcBorders>
          </w:tcPr>
          <w:p>
            <w:pPr>
              <w:pStyle w:val="0"/>
              <w:jc w:val="both"/>
            </w:pPr>
            <w:r>
              <w:rPr>
                <w:sz w:val="24"/>
              </w:rPr>
            </w:r>
          </w:p>
        </w:tc>
        <w:tc>
          <w:tcPr>
            <w:tcW w:w="1417" w:type="dxa"/>
            <w:tcBorders>
              <w:top w:val="nil"/>
              <w:left w:val="nil"/>
              <w:bottom w:val="single" w:sz="4"/>
              <w:right w:val="nil"/>
            </w:tcBorders>
          </w:tcPr>
          <w:p>
            <w:pPr>
              <w:pStyle w:val="0"/>
              <w:jc w:val="both"/>
            </w:pPr>
            <w:r>
              <w:rPr>
                <w:sz w:val="24"/>
              </w:rPr>
            </w:r>
          </w:p>
        </w:tc>
        <w:tc>
          <w:tcPr>
            <w:tcW w:w="1644" w:type="dxa"/>
            <w:tcBorders>
              <w:top w:val="nil"/>
              <w:left w:val="nil"/>
              <w:bottom w:val="single" w:sz="4"/>
              <w:right w:val="nil"/>
            </w:tcBorders>
          </w:tcPr>
          <w:p>
            <w:pPr>
              <w:pStyle w:val="0"/>
              <w:jc w:val="both"/>
            </w:pPr>
            <w:r>
              <w:rPr>
                <w:sz w:val="24"/>
              </w:rPr>
            </w:r>
          </w:p>
        </w:tc>
        <w:tc>
          <w:tcPr>
            <w:tcW w:w="1474" w:type="dxa"/>
            <w:tcBorders>
              <w:top w:val="nil"/>
              <w:left w:val="nil"/>
              <w:bottom w:val="single" w:sz="4"/>
              <w:right w:val="nil"/>
            </w:tcBorders>
          </w:tcPr>
          <w:p>
            <w:pPr>
              <w:pStyle w:val="0"/>
              <w:jc w:val="both"/>
            </w:pPr>
            <w:r>
              <w:rPr>
                <w:sz w:val="24"/>
              </w:rPr>
            </w:r>
          </w:p>
        </w:tc>
      </w:tr>
    </w:tbl>
    <w:p>
      <w:pPr>
        <w:pStyle w:val="0"/>
        <w:jc w:val="both"/>
      </w:pPr>
      <w:r>
        <w:rPr>
          <w:sz w:val="24"/>
        </w:rPr>
      </w:r>
    </w:p>
    <w:p>
      <w:pPr>
        <w:pStyle w:val="0"/>
        <w:ind w:firstLine="540"/>
        <w:jc w:val="both"/>
      </w:pPr>
      <w:r>
        <w:rPr>
          <w:sz w:val="24"/>
        </w:rPr>
        <w:t xml:space="preserve">--------------------------------</w:t>
      </w:r>
    </w:p>
    <w:bookmarkStart w:id="1109" w:name="P1109"/>
    <w:bookmarkEnd w:id="1109"/>
    <w:p>
      <w:pPr>
        <w:pStyle w:val="0"/>
        <w:spacing w:before="240" w:line-rule="auto"/>
        <w:ind w:firstLine="540"/>
        <w:jc w:val="both"/>
      </w:pPr>
      <w:r>
        <w:rPr>
          <w:sz w:val="24"/>
        </w:rPr>
        <w:t xml:space="preserve">&lt;*&gt; Представленная информация действительна в отношении участников, не воспользовавшихся целевым жилищным займом и не использовавших накопления для жилищного обеспечения.</w:t>
      </w:r>
    </w:p>
    <w:bookmarkStart w:id="1110" w:name="P1110"/>
    <w:bookmarkEnd w:id="1110"/>
    <w:p>
      <w:pPr>
        <w:pStyle w:val="0"/>
        <w:spacing w:before="240" w:line-rule="auto"/>
        <w:ind w:firstLine="540"/>
        <w:jc w:val="both"/>
      </w:pPr>
      <w:r>
        <w:rPr>
          <w:sz w:val="24"/>
        </w:rPr>
        <w:t xml:space="preserve">&lt;**&gt; Указана сумма доходов от инвестирования, учтенная на именных накопительных счетах участников за весь период до отчетной даты.</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07.11.2005 N 655</w:t>
            <w:br/>
            <w:t>(ред. от 01.07.2025)</w:t>
            <w:br/>
            <w:t>"О порядке функционирования накопительно-ипотечн...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14.10.2025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Постановление Правительства РФ от 07.11.2005 N 655</w:t>
            <w:br/>
            <w:t>(ред. от 01.07.2025)</w:t>
            <w:br/>
            <w:t>"О порядке функционирования накопительно-ипотечн...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14.10.2025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docs7.online-sps.ru/cgi/online.cgi?req=doc&amp;base=LAW&amp;n=63499&amp;date=14.10.2025&amp;dst=100005&amp;field=134" TargetMode = "External"/>
	<Relationship Id="rId8" Type="http://schemas.openxmlformats.org/officeDocument/2006/relationships/hyperlink" Target="https://docs7.online-sps.ru/cgi/online.cgi?req=doc&amp;base=LAW&amp;n=509247&amp;date=14.10.2025&amp;dst=100006&amp;field=134" TargetMode = "External"/>
	<Relationship Id="rId9" Type="http://schemas.openxmlformats.org/officeDocument/2006/relationships/hyperlink" Target="https://docs7.online-sps.ru/cgi/online.cgi?req=doc&amp;base=LAW&amp;n=84533&amp;date=14.10.2025&amp;dst=100005&amp;field=134" TargetMode = "External"/>
	<Relationship Id="rId10" Type="http://schemas.openxmlformats.org/officeDocument/2006/relationships/hyperlink" Target="https://docs7.online-sps.ru/cgi/online.cgi?req=doc&amp;base=LAW&amp;n=125458&amp;date=14.10.2025&amp;dst=100019&amp;field=134" TargetMode = "External"/>
	<Relationship Id="rId11" Type="http://schemas.openxmlformats.org/officeDocument/2006/relationships/hyperlink" Target="https://docs7.online-sps.ru/cgi/online.cgi?req=doc&amp;base=LAW&amp;n=447508&amp;date=14.10.2025&amp;dst=100014&amp;field=134" TargetMode = "External"/>
	<Relationship Id="rId12" Type="http://schemas.openxmlformats.org/officeDocument/2006/relationships/hyperlink" Target="https://docs7.online-sps.ru/cgi/online.cgi?req=doc&amp;base=LAW&amp;n=194316&amp;date=14.10.2025&amp;dst=100005&amp;field=134" TargetMode = "External"/>
	<Relationship Id="rId13" Type="http://schemas.openxmlformats.org/officeDocument/2006/relationships/hyperlink" Target="https://docs7.online-sps.ru/cgi/online.cgi?req=doc&amp;base=LAW&amp;n=447505&amp;date=14.10.2025&amp;dst=100015&amp;field=134" TargetMode = "External"/>
	<Relationship Id="rId14" Type="http://schemas.openxmlformats.org/officeDocument/2006/relationships/hyperlink" Target="https://docs7.online-sps.ru/cgi/online.cgi?req=doc&amp;base=LAW&amp;n=484355&amp;date=14.10.2025&amp;dst=100199&amp;field=134" TargetMode = "External"/>
	<Relationship Id="rId15" Type="http://schemas.openxmlformats.org/officeDocument/2006/relationships/hyperlink" Target="https://docs7.online-sps.ru/cgi/online.cgi?req=doc&amp;base=LAW&amp;n=353901&amp;date=14.10.2025&amp;dst=100009&amp;field=134" TargetMode = "External"/>
	<Relationship Id="rId16" Type="http://schemas.openxmlformats.org/officeDocument/2006/relationships/hyperlink" Target="https://docs7.online-sps.ru/cgi/online.cgi?req=doc&amp;base=LAW&amp;n=447506&amp;date=14.10.2025&amp;dst=100014&amp;field=134" TargetMode = "External"/>
	<Relationship Id="rId17" Type="http://schemas.openxmlformats.org/officeDocument/2006/relationships/hyperlink" Target="https://docs7.online-sps.ru/cgi/online.cgi?req=doc&amp;base=LAW&amp;n=430531&amp;date=14.10.2025&amp;dst=100009&amp;field=134" TargetMode = "External"/>
	<Relationship Id="rId18" Type="http://schemas.openxmlformats.org/officeDocument/2006/relationships/hyperlink" Target="https://docs7.online-sps.ru/cgi/online.cgi?req=doc&amp;base=LAW&amp;n=431159&amp;date=14.10.2025&amp;dst=100010&amp;field=134" TargetMode = "External"/>
	<Relationship Id="rId19" Type="http://schemas.openxmlformats.org/officeDocument/2006/relationships/hyperlink" Target="https://docs7.online-sps.ru/cgi/online.cgi?req=doc&amp;base=LAW&amp;n=447431&amp;date=14.10.2025&amp;dst=100029&amp;field=134" TargetMode = "External"/>
	<Relationship Id="rId20" Type="http://schemas.openxmlformats.org/officeDocument/2006/relationships/hyperlink" Target="https://docs7.online-sps.ru/cgi/online.cgi?req=doc&amp;base=LAW&amp;n=457862&amp;date=14.10.2025&amp;dst=100005&amp;field=134" TargetMode = "External"/>
	<Relationship Id="rId21" Type="http://schemas.openxmlformats.org/officeDocument/2006/relationships/hyperlink" Target="https://docs7.online-sps.ru/cgi/online.cgi?req=doc&amp;base=LAW&amp;n=499543&amp;date=14.10.2025&amp;dst=100005&amp;field=134" TargetMode = "External"/>
	<Relationship Id="rId22" Type="http://schemas.openxmlformats.org/officeDocument/2006/relationships/hyperlink" Target="https://docs7.online-sps.ru/cgi/online.cgi?req=doc&amp;base=LAW&amp;n=509233&amp;date=14.10.2025&amp;dst=100020&amp;field=134" TargetMode = "External"/>
	<Relationship Id="rId23" Type="http://schemas.openxmlformats.org/officeDocument/2006/relationships/hyperlink" Target="https://docs7.online-sps.ru/cgi/online.cgi?req=doc&amp;base=LAW&amp;n=509411&amp;date=14.10.2025&amp;dst=100049&amp;field=134" TargetMode = "External"/>
	<Relationship Id="rId24" Type="http://schemas.openxmlformats.org/officeDocument/2006/relationships/hyperlink" Target="https://docs7.online-sps.ru/cgi/online.cgi?req=doc&amp;base=LAW&amp;n=509411&amp;date=14.10.2025&amp;dst=100073&amp;field=134" TargetMode = "External"/>
	<Relationship Id="rId25" Type="http://schemas.openxmlformats.org/officeDocument/2006/relationships/hyperlink" Target="https://docs7.online-sps.ru/cgi/online.cgi?req=doc&amp;base=LAW&amp;n=509411&amp;date=14.10.2025&amp;dst=100143&amp;field=134" TargetMode = "External"/>
	<Relationship Id="rId26" Type="http://schemas.openxmlformats.org/officeDocument/2006/relationships/hyperlink" Target="https://docs7.online-sps.ru/cgi/online.cgi?req=doc&amp;base=LAW&amp;n=509411&amp;date=14.10.2025&amp;dst=100149&amp;field=134" TargetMode = "External"/>
	<Relationship Id="rId27" Type="http://schemas.openxmlformats.org/officeDocument/2006/relationships/hyperlink" Target="https://docs7.online-sps.ru/cgi/online.cgi?req=doc&amp;base=LAW&amp;n=509247&amp;date=14.10.2025&amp;dst=100025&amp;field=134" TargetMode = "External"/>
	<Relationship Id="rId28" Type="http://schemas.openxmlformats.org/officeDocument/2006/relationships/hyperlink" Target="https://docs7.online-sps.ru/cgi/online.cgi?req=doc&amp;base=LAW&amp;n=509247&amp;date=14.10.2025&amp;dst=100012&amp;field=134" TargetMode = "External"/>
	<Relationship Id="rId29" Type="http://schemas.openxmlformats.org/officeDocument/2006/relationships/hyperlink" Target="https://docs7.online-sps.ru/cgi/online.cgi?req=doc&amp;base=LAW&amp;n=63499&amp;date=14.10.2025&amp;dst=100011&amp;field=134" TargetMode = "External"/>
	<Relationship Id="rId30" Type="http://schemas.openxmlformats.org/officeDocument/2006/relationships/hyperlink" Target="https://docs7.online-sps.ru/cgi/online.cgi?req=doc&amp;base=LAW&amp;n=63499&amp;date=14.10.2025&amp;dst=100013&amp;field=134" TargetMode = "External"/>
	<Relationship Id="rId31" Type="http://schemas.openxmlformats.org/officeDocument/2006/relationships/hyperlink" Target="https://docs7.online-sps.ru/cgi/online.cgi?req=doc&amp;base=LAW&amp;n=515492&amp;date=14.10.2025&amp;dst=243&amp;field=134" TargetMode = "External"/>
	<Relationship Id="rId32" Type="http://schemas.openxmlformats.org/officeDocument/2006/relationships/hyperlink" Target="https://docs7.online-sps.ru/cgi/online.cgi?req=doc&amp;base=LAW&amp;n=63499&amp;date=14.10.2025&amp;dst=100014&amp;field=134" TargetMode = "External"/>
	<Relationship Id="rId33" Type="http://schemas.openxmlformats.org/officeDocument/2006/relationships/hyperlink" Target="https://docs7.online-sps.ru/cgi/online.cgi?req=doc&amp;base=LAW&amp;n=84533&amp;date=14.10.2025&amp;dst=100009&amp;field=134" TargetMode = "External"/>
	<Relationship Id="rId34" Type="http://schemas.openxmlformats.org/officeDocument/2006/relationships/hyperlink" Target="https://docs7.online-sps.ru/cgi/online.cgi?req=doc&amp;base=LAW&amp;n=447505&amp;date=14.10.2025&amp;dst=100016&amp;field=134" TargetMode = "External"/>
	<Relationship Id="rId35" Type="http://schemas.openxmlformats.org/officeDocument/2006/relationships/hyperlink" Target="https://docs7.online-sps.ru/cgi/online.cgi?req=doc&amp;base=LAW&amp;n=484355&amp;date=14.10.2025&amp;dst=100200&amp;field=134" TargetMode = "External"/>
	<Relationship Id="rId36" Type="http://schemas.openxmlformats.org/officeDocument/2006/relationships/hyperlink" Target="https://docs7.online-sps.ru/cgi/online.cgi?req=doc&amp;base=LAW&amp;n=353901&amp;date=14.10.2025&amp;dst=100010&amp;field=134" TargetMode = "External"/>
	<Relationship Id="rId37" Type="http://schemas.openxmlformats.org/officeDocument/2006/relationships/hyperlink" Target="https://docs7.online-sps.ru/cgi/online.cgi?req=doc&amp;base=LAW&amp;n=447506&amp;date=14.10.2025&amp;dst=100015&amp;field=134" TargetMode = "External"/>
	<Relationship Id="rId38" Type="http://schemas.openxmlformats.org/officeDocument/2006/relationships/hyperlink" Target="https://docs7.online-sps.ru/cgi/online.cgi?req=doc&amp;base=LAW&amp;n=430531&amp;date=14.10.2025&amp;dst=100010&amp;field=134" TargetMode = "External"/>
	<Relationship Id="rId39" Type="http://schemas.openxmlformats.org/officeDocument/2006/relationships/hyperlink" Target="https://docs7.online-sps.ru/cgi/online.cgi?req=doc&amp;base=LAW&amp;n=447431&amp;date=14.10.2025&amp;dst=100030&amp;field=134" TargetMode = "External"/>
	<Relationship Id="rId40" Type="http://schemas.openxmlformats.org/officeDocument/2006/relationships/hyperlink" Target="https://docs7.online-sps.ru/cgi/online.cgi?req=doc&amp;base=LAW&amp;n=509233&amp;date=14.10.2025&amp;dst=100021&amp;field=134" TargetMode = "External"/>
	<Relationship Id="rId41" Type="http://schemas.openxmlformats.org/officeDocument/2006/relationships/hyperlink" Target="https://docs7.online-sps.ru/cgi/online.cgi?req=doc&amp;base=LAW&amp;n=509411&amp;date=14.10.2025&amp;dst=100050&amp;field=134" TargetMode = "External"/>
	<Relationship Id="rId42" Type="http://schemas.openxmlformats.org/officeDocument/2006/relationships/hyperlink" Target="https://docs7.online-sps.ru/cgi/online.cgi?req=doc&amp;base=LAW&amp;n=52982&amp;date=14.10.2025&amp;dst=100007&amp;field=134" TargetMode = "External"/>
	<Relationship Id="rId43" Type="http://schemas.openxmlformats.org/officeDocument/2006/relationships/hyperlink" Target="https://docs7.online-sps.ru/cgi/online.cgi?req=doc&amp;base=LAW&amp;n=84533&amp;date=14.10.2025&amp;dst=100010&amp;field=134" TargetMode = "External"/>
	<Relationship Id="rId44" Type="http://schemas.openxmlformats.org/officeDocument/2006/relationships/hyperlink" Target="https://docs7.online-sps.ru/cgi/online.cgi?req=doc&amp;base=LAW&amp;n=509411&amp;date=14.10.2025&amp;dst=100014&amp;field=134" TargetMode = "External"/>
	<Relationship Id="rId45" Type="http://schemas.openxmlformats.org/officeDocument/2006/relationships/hyperlink" Target="https://docs7.online-sps.ru/cgi/online.cgi?req=doc&amp;base=LAW&amp;n=447431&amp;date=14.10.2025&amp;dst=100031&amp;field=134" TargetMode = "External"/>
	<Relationship Id="rId46" Type="http://schemas.openxmlformats.org/officeDocument/2006/relationships/hyperlink" Target="https://docs7.online-sps.ru/cgi/online.cgi?req=doc&amp;base=LAW&amp;n=491101&amp;date=14.10.2025&amp;dst=100006&amp;field=134" TargetMode = "External"/>
	<Relationship Id="rId47" Type="http://schemas.openxmlformats.org/officeDocument/2006/relationships/hyperlink" Target="https://docs7.online-sps.ru/cgi/online.cgi?req=doc&amp;base=LAW&amp;n=84533&amp;date=14.10.2025&amp;dst=100011&amp;field=134" TargetMode = "External"/>
	<Relationship Id="rId48" Type="http://schemas.openxmlformats.org/officeDocument/2006/relationships/hyperlink" Target="https://docs7.online-sps.ru/cgi/online.cgi?req=doc&amp;base=LAW&amp;n=491101&amp;date=14.10.2025&amp;dst=100006&amp;field=134" TargetMode = "External"/>
	<Relationship Id="rId49" Type="http://schemas.openxmlformats.org/officeDocument/2006/relationships/hyperlink" Target="https://docs7.online-sps.ru/cgi/online.cgi?req=doc&amp;base=LAW&amp;n=447505&amp;date=14.10.2025&amp;dst=100016&amp;field=134" TargetMode = "External"/>
	<Relationship Id="rId50" Type="http://schemas.openxmlformats.org/officeDocument/2006/relationships/hyperlink" Target="https://docs7.online-sps.ru/cgi/online.cgi?req=doc&amp;base=LAW&amp;n=447431&amp;date=14.10.2025&amp;dst=100033&amp;field=134" TargetMode = "External"/>
	<Relationship Id="rId51" Type="http://schemas.openxmlformats.org/officeDocument/2006/relationships/hyperlink" Target="https://docs7.online-sps.ru/cgi/online.cgi?req=doc&amp;base=LAW&amp;n=84533&amp;date=14.10.2025&amp;dst=100013&amp;field=134" TargetMode = "External"/>
	<Relationship Id="rId52" Type="http://schemas.openxmlformats.org/officeDocument/2006/relationships/hyperlink" Target="https://docs7.online-sps.ru/cgi/online.cgi?req=doc&amp;base=LAW&amp;n=93375&amp;date=14.10.2025&amp;dst=100002&amp;field=134" TargetMode = "External"/>
	<Relationship Id="rId53" Type="http://schemas.openxmlformats.org/officeDocument/2006/relationships/hyperlink" Target="https://docs7.online-sps.ru/cgi/online.cgi?req=doc&amp;base=LAW&amp;n=447431&amp;date=14.10.2025&amp;dst=100034&amp;field=134" TargetMode = "External"/>
	<Relationship Id="rId54" Type="http://schemas.openxmlformats.org/officeDocument/2006/relationships/hyperlink" Target="https://docs7.online-sps.ru/cgi/online.cgi?req=doc&amp;base=LAW&amp;n=509411&amp;date=14.10.2025&amp;dst=100546&amp;field=134" TargetMode = "External"/>
	<Relationship Id="rId55" Type="http://schemas.openxmlformats.org/officeDocument/2006/relationships/hyperlink" Target="https://docs7.online-sps.ru/cgi/online.cgi?req=doc&amp;base=LAW&amp;n=509411&amp;date=14.10.2025&amp;dst=100547&amp;field=134" TargetMode = "External"/>
	<Relationship Id="rId56" Type="http://schemas.openxmlformats.org/officeDocument/2006/relationships/hyperlink" Target="https://docs7.online-sps.ru/cgi/online.cgi?req=doc&amp;base=LAW&amp;n=509233&amp;date=14.10.2025&amp;dst=100021&amp;field=134" TargetMode = "External"/>
	<Relationship Id="rId57" Type="http://schemas.openxmlformats.org/officeDocument/2006/relationships/hyperlink" Target="https://docs7.online-sps.ru/cgi/online.cgi?req=doc&amp;base=LAW&amp;n=484355&amp;date=14.10.2025&amp;dst=100202&amp;field=134" TargetMode = "External"/>
	<Relationship Id="rId58" Type="http://schemas.openxmlformats.org/officeDocument/2006/relationships/hyperlink" Target="https://docs7.online-sps.ru/cgi/online.cgi?req=doc&amp;base=LAW&amp;n=484355&amp;date=14.10.2025&amp;dst=100203&amp;field=134" TargetMode = "External"/>
	<Relationship Id="rId59" Type="http://schemas.openxmlformats.org/officeDocument/2006/relationships/hyperlink" Target="https://docs7.online-sps.ru/cgi/online.cgi?req=doc&amp;base=LAW&amp;n=484355&amp;date=14.10.2025&amp;dst=100204&amp;field=134" TargetMode = "External"/>
	<Relationship Id="rId60" Type="http://schemas.openxmlformats.org/officeDocument/2006/relationships/hyperlink" Target="https://docs7.online-sps.ru/cgi/online.cgi?req=doc&amp;base=LAW&amp;n=509411&amp;date=14.10.2025&amp;dst=194&amp;field=134" TargetMode = "External"/>
	<Relationship Id="rId61" Type="http://schemas.openxmlformats.org/officeDocument/2006/relationships/hyperlink" Target="https://docs7.online-sps.ru/cgi/online.cgi?req=doc&amp;base=LAW&amp;n=509411&amp;date=14.10.2025&amp;dst=100471&amp;field=134" TargetMode = "External"/>
	<Relationship Id="rId62" Type="http://schemas.openxmlformats.org/officeDocument/2006/relationships/hyperlink" Target="https://docs7.online-sps.ru/cgi/online.cgi?req=doc&amp;base=LAW&amp;n=509411&amp;date=14.10.2025&amp;dst=100472&amp;field=134" TargetMode = "External"/>
	<Relationship Id="rId63" Type="http://schemas.openxmlformats.org/officeDocument/2006/relationships/hyperlink" Target="https://docs7.online-sps.ru/cgi/online.cgi?req=doc&amp;base=LAW&amp;n=509411&amp;date=14.10.2025&amp;dst=100471&amp;field=134" TargetMode = "External"/>
	<Relationship Id="rId64" Type="http://schemas.openxmlformats.org/officeDocument/2006/relationships/hyperlink" Target="https://docs7.online-sps.ru/cgi/online.cgi?req=doc&amp;base=LAW&amp;n=509411&amp;date=14.10.2025&amp;dst=100472&amp;field=134" TargetMode = "External"/>
	<Relationship Id="rId65" Type="http://schemas.openxmlformats.org/officeDocument/2006/relationships/hyperlink" Target="https://docs7.online-sps.ru/cgi/online.cgi?req=doc&amp;base=LAW&amp;n=447431&amp;date=14.10.2025&amp;dst=100036&amp;field=134" TargetMode = "External"/>
	<Relationship Id="rId66" Type="http://schemas.openxmlformats.org/officeDocument/2006/relationships/hyperlink" Target="https://docs7.online-sps.ru/cgi/online.cgi?req=doc&amp;base=LAW&amp;n=84533&amp;date=14.10.2025&amp;dst=100015&amp;field=134" TargetMode = "External"/>
	<Relationship Id="rId67" Type="http://schemas.openxmlformats.org/officeDocument/2006/relationships/hyperlink" Target="https://docs7.online-sps.ru/cgi/online.cgi?req=doc&amp;base=LAW&amp;n=447506&amp;date=14.10.2025&amp;dst=100016&amp;field=134" TargetMode = "External"/>
	<Relationship Id="rId68" Type="http://schemas.openxmlformats.org/officeDocument/2006/relationships/hyperlink" Target="https://docs7.online-sps.ru/cgi/online.cgi?req=doc&amp;base=LAW&amp;n=484355&amp;date=14.10.2025&amp;dst=100204&amp;field=134" TargetMode = "External"/>
	<Relationship Id="rId69" Type="http://schemas.openxmlformats.org/officeDocument/2006/relationships/hyperlink" Target="https://docs7.online-sps.ru/cgi/online.cgi?req=doc&amp;base=LAW&amp;n=84533&amp;date=14.10.2025&amp;dst=100016&amp;field=134" TargetMode = "External"/>
	<Relationship Id="rId70" Type="http://schemas.openxmlformats.org/officeDocument/2006/relationships/hyperlink" Target="https://docs7.online-sps.ru/cgi/online.cgi?req=doc&amp;base=LAW&amp;n=353901&amp;date=14.10.2025&amp;dst=100010&amp;field=134" TargetMode = "External"/>
	<Relationship Id="rId71" Type="http://schemas.openxmlformats.org/officeDocument/2006/relationships/hyperlink" Target="https://docs7.online-sps.ru/cgi/online.cgi?req=doc&amp;base=LAW&amp;n=447506&amp;date=14.10.2025&amp;dst=100017&amp;field=134" TargetMode = "External"/>
	<Relationship Id="rId72" Type="http://schemas.openxmlformats.org/officeDocument/2006/relationships/hyperlink" Target="https://docs7.online-sps.ru/cgi/online.cgi?req=doc&amp;base=LAW&amp;n=430531&amp;date=14.10.2025&amp;dst=100010&amp;field=134" TargetMode = "External"/>
	<Relationship Id="rId73" Type="http://schemas.openxmlformats.org/officeDocument/2006/relationships/hyperlink" Target="https://docs7.online-sps.ru/cgi/online.cgi?req=doc&amp;base=LAW&amp;n=493187&amp;date=14.10.2025&amp;dst=100125&amp;field=134" TargetMode = "External"/>
	<Relationship Id="rId74" Type="http://schemas.openxmlformats.org/officeDocument/2006/relationships/hyperlink" Target="https://docs7.online-sps.ru/cgi/online.cgi?req=doc&amp;base=LAW&amp;n=484355&amp;date=14.10.2025&amp;dst=100205&amp;field=134" TargetMode = "External"/>
	<Relationship Id="rId75" Type="http://schemas.openxmlformats.org/officeDocument/2006/relationships/hyperlink" Target="https://docs7.online-sps.ru/cgi/online.cgi?req=doc&amp;base=LAW&amp;n=457862&amp;date=14.10.2025&amp;dst=100010&amp;field=134" TargetMode = "External"/>
	<Relationship Id="rId76" Type="http://schemas.openxmlformats.org/officeDocument/2006/relationships/hyperlink" Target="https://docs7.online-sps.ru/cgi/online.cgi?req=doc&amp;base=LAW&amp;n=499543&amp;date=14.10.2025&amp;dst=100009&amp;field=134" TargetMode = "External"/>
	<Relationship Id="rId77" Type="http://schemas.openxmlformats.org/officeDocument/2006/relationships/hyperlink" Target="https://docs7.online-sps.ru/cgi/online.cgi?req=doc&amp;base=LAW&amp;n=509411&amp;date=14.10.2025&amp;dst=100052&amp;field=134" TargetMode = "External"/>
	<Relationship Id="rId78" Type="http://schemas.openxmlformats.org/officeDocument/2006/relationships/hyperlink" Target="https://docs7.online-sps.ru/cgi/online.cgi?req=doc&amp;base=LAW&amp;n=52982&amp;date=14.10.2025&amp;dst=100007&amp;field=134" TargetMode = "External"/>
	<Relationship Id="rId79" Type="http://schemas.openxmlformats.org/officeDocument/2006/relationships/hyperlink" Target="https://docs7.online-sps.ru/cgi/online.cgi?req=doc&amp;base=LAW&amp;n=457862&amp;date=14.10.2025&amp;dst=100010&amp;field=134" TargetMode = "External"/>
	<Relationship Id="rId80" Type="http://schemas.openxmlformats.org/officeDocument/2006/relationships/hyperlink" Target="https://docs7.online-sps.ru/cgi/online.cgi?req=doc&amp;base=LAW&amp;n=499543&amp;date=14.10.2025&amp;dst=100009&amp;field=134" TargetMode = "External"/>
	<Relationship Id="rId81" Type="http://schemas.openxmlformats.org/officeDocument/2006/relationships/hyperlink" Target="https://docs7.online-sps.ru/cgi/online.cgi?req=doc&amp;base=LAW&amp;n=484355&amp;date=14.10.2025&amp;dst=100206&amp;field=134" TargetMode = "External"/>
	<Relationship Id="rId82" Type="http://schemas.openxmlformats.org/officeDocument/2006/relationships/hyperlink" Target="https://docs7.online-sps.ru/cgi/online.cgi?req=doc&amp;base=LAW&amp;n=515492&amp;date=14.10.2025&amp;dst=243&amp;field=134" TargetMode = "External"/>
	<Relationship Id="rId83" Type="http://schemas.openxmlformats.org/officeDocument/2006/relationships/hyperlink" Target="https://docs7.online-sps.ru/cgi/online.cgi?req=doc&amp;base=LAW&amp;n=484355&amp;date=14.10.2025&amp;dst=100207&amp;field=134" TargetMode = "External"/>
	<Relationship Id="rId84" Type="http://schemas.openxmlformats.org/officeDocument/2006/relationships/hyperlink" Target="https://docs7.online-sps.ru/cgi/online.cgi?req=doc&amp;base=LAW&amp;n=484355&amp;date=14.10.2025&amp;dst=100208&amp;field=134" TargetMode = "External"/>
	<Relationship Id="rId85" Type="http://schemas.openxmlformats.org/officeDocument/2006/relationships/hyperlink" Target="https://docs7.online-sps.ru/cgi/online.cgi?req=doc&amp;base=LAW&amp;n=84533&amp;date=14.10.2025&amp;dst=100019&amp;field=134" TargetMode = "External"/>
	<Relationship Id="rId86" Type="http://schemas.openxmlformats.org/officeDocument/2006/relationships/hyperlink" Target="https://docs7.online-sps.ru/cgi/online.cgi?req=doc&amp;base=LAW&amp;n=125458&amp;date=14.10.2025&amp;dst=100020&amp;field=134" TargetMode = "External"/>
	<Relationship Id="rId87" Type="http://schemas.openxmlformats.org/officeDocument/2006/relationships/hyperlink" Target="https://docs7.online-sps.ru/cgi/online.cgi?req=doc&amp;base=LAW&amp;n=447508&amp;date=14.10.2025&amp;dst=100015&amp;field=134" TargetMode = "External"/>
	<Relationship Id="rId88" Type="http://schemas.openxmlformats.org/officeDocument/2006/relationships/hyperlink" Target="https://docs7.online-sps.ru/cgi/online.cgi?req=doc&amp;base=LAW&amp;n=194316&amp;date=14.10.2025&amp;dst=100005&amp;field=134" TargetMode = "External"/>
	<Relationship Id="rId89" Type="http://schemas.openxmlformats.org/officeDocument/2006/relationships/hyperlink" Target="https://docs7.online-sps.ru/cgi/online.cgi?req=doc&amp;base=LAW&amp;n=484355&amp;date=14.10.2025&amp;dst=100209&amp;field=134" TargetMode = "External"/>
	<Relationship Id="rId90" Type="http://schemas.openxmlformats.org/officeDocument/2006/relationships/hyperlink" Target="https://docs7.online-sps.ru/cgi/online.cgi?req=doc&amp;base=LAW&amp;n=353901&amp;date=14.10.2025&amp;dst=100011&amp;field=134" TargetMode = "External"/>
	<Relationship Id="rId91" Type="http://schemas.openxmlformats.org/officeDocument/2006/relationships/hyperlink" Target="https://docs7.online-sps.ru/cgi/online.cgi?req=doc&amp;base=LAW&amp;n=447506&amp;date=14.10.2025&amp;dst=100018&amp;field=134" TargetMode = "External"/>
	<Relationship Id="rId92" Type="http://schemas.openxmlformats.org/officeDocument/2006/relationships/hyperlink" Target="https://docs7.online-sps.ru/cgi/online.cgi?req=doc&amp;base=LAW&amp;n=430531&amp;date=14.10.2025&amp;dst=100011&amp;field=134" TargetMode = "External"/>
	<Relationship Id="rId93" Type="http://schemas.openxmlformats.org/officeDocument/2006/relationships/hyperlink" Target="https://docs7.online-sps.ru/cgi/online.cgi?req=doc&amp;base=LAW&amp;n=431159&amp;date=14.10.2025&amp;dst=100010&amp;field=134" TargetMode = "External"/>
	<Relationship Id="rId94" Type="http://schemas.openxmlformats.org/officeDocument/2006/relationships/hyperlink" Target="https://docs7.online-sps.ru/cgi/online.cgi?req=doc&amp;base=LAW&amp;n=447431&amp;date=14.10.2025&amp;dst=100038&amp;field=134" TargetMode = "External"/>
	<Relationship Id="rId95" Type="http://schemas.openxmlformats.org/officeDocument/2006/relationships/hyperlink" Target="https://docs7.online-sps.ru/cgi/online.cgi?req=doc&amp;base=LAW&amp;n=457862&amp;date=14.10.2025&amp;dst=100011&amp;field=134" TargetMode = "External"/>
	<Relationship Id="rId96" Type="http://schemas.openxmlformats.org/officeDocument/2006/relationships/hyperlink" Target="https://docs7.online-sps.ru/cgi/online.cgi?req=doc&amp;base=LAW&amp;n=509233&amp;date=14.10.2025&amp;dst=100023&amp;field=134" TargetMode = "External"/>
	<Relationship Id="rId97" Type="http://schemas.openxmlformats.org/officeDocument/2006/relationships/hyperlink" Target="https://docs7.online-sps.ru/cgi/online.cgi?req=doc&amp;base=LAW&amp;n=509411&amp;date=14.10.2025&amp;dst=100073&amp;field=134" TargetMode = "External"/>
	<Relationship Id="rId98" Type="http://schemas.openxmlformats.org/officeDocument/2006/relationships/hyperlink" Target="https://docs7.online-sps.ru/cgi/online.cgi?req=doc&amp;base=LAW&amp;n=52982&amp;date=14.10.2025&amp;dst=100007&amp;field=134" TargetMode = "External"/>
	<Relationship Id="rId99" Type="http://schemas.openxmlformats.org/officeDocument/2006/relationships/hyperlink" Target="https://docs7.online-sps.ru/cgi/online.cgi?req=doc&amp;base=LAW&amp;n=125458&amp;date=14.10.2025&amp;dst=100021&amp;field=134" TargetMode = "External"/>
	<Relationship Id="rId100" Type="http://schemas.openxmlformats.org/officeDocument/2006/relationships/hyperlink" Target="https://docs7.online-sps.ru/cgi/online.cgi?req=doc&amp;base=LAW&amp;n=509411&amp;date=14.10.2025" TargetMode = "External"/>
	<Relationship Id="rId101" Type="http://schemas.openxmlformats.org/officeDocument/2006/relationships/hyperlink" Target="https://docs7.online-sps.ru/cgi/online.cgi?req=doc&amp;base=LAW&amp;n=447431&amp;date=14.10.2025&amp;dst=100039&amp;field=134" TargetMode = "External"/>
	<Relationship Id="rId102" Type="http://schemas.openxmlformats.org/officeDocument/2006/relationships/hyperlink" Target="https://docs7.online-sps.ru/cgi/online.cgi?req=doc&amp;base=LAW&amp;n=484355&amp;date=14.10.2025&amp;dst=100209&amp;field=134" TargetMode = "External"/>
	<Relationship Id="rId103" Type="http://schemas.openxmlformats.org/officeDocument/2006/relationships/hyperlink" Target="https://docs7.online-sps.ru/cgi/online.cgi?req=doc&amp;base=LAW&amp;n=509411&amp;date=14.10.2025&amp;dst=100114&amp;field=134" TargetMode = "External"/>
	<Relationship Id="rId104" Type="http://schemas.openxmlformats.org/officeDocument/2006/relationships/hyperlink" Target="https://docs7.online-sps.ru/cgi/online.cgi?req=doc&amp;base=LAW&amp;n=447431&amp;date=14.10.2025&amp;dst=100042&amp;field=134" TargetMode = "External"/>
	<Relationship Id="rId105" Type="http://schemas.openxmlformats.org/officeDocument/2006/relationships/hyperlink" Target="https://docs7.online-sps.ru/cgi/online.cgi?req=doc&amp;base=LAW&amp;n=447431&amp;date=14.10.2025&amp;dst=100043&amp;field=134" TargetMode = "External"/>
	<Relationship Id="rId106" Type="http://schemas.openxmlformats.org/officeDocument/2006/relationships/hyperlink" Target="https://docs7.online-sps.ru/cgi/online.cgi?req=doc&amp;base=LAW&amp;n=447506&amp;date=14.10.2025&amp;dst=100020&amp;field=134" TargetMode = "External"/>
	<Relationship Id="rId107" Type="http://schemas.openxmlformats.org/officeDocument/2006/relationships/hyperlink" Target="https://docs7.online-sps.ru/cgi/online.cgi?req=doc&amp;base=LAW&amp;n=430531&amp;date=14.10.2025&amp;dst=100011&amp;field=134" TargetMode = "External"/>
	<Relationship Id="rId108" Type="http://schemas.openxmlformats.org/officeDocument/2006/relationships/hyperlink" Target="https://docs7.online-sps.ru/cgi/online.cgi?req=doc&amp;base=LAW&amp;n=431159&amp;date=14.10.2025&amp;dst=100011&amp;field=134" TargetMode = "External"/>
	<Relationship Id="rId109" Type="http://schemas.openxmlformats.org/officeDocument/2006/relationships/hyperlink" Target="https://docs7.online-sps.ru/cgi/online.cgi?req=doc&amp;base=LAW&amp;n=431159&amp;date=14.10.2025&amp;dst=100012&amp;field=134" TargetMode = "External"/>
	<Relationship Id="rId110" Type="http://schemas.openxmlformats.org/officeDocument/2006/relationships/hyperlink" Target="https://docs7.online-sps.ru/cgi/online.cgi?req=doc&amp;base=LAW&amp;n=447431&amp;date=14.10.2025&amp;dst=100045&amp;field=134" TargetMode = "External"/>
	<Relationship Id="rId111" Type="http://schemas.openxmlformats.org/officeDocument/2006/relationships/hyperlink" Target="https://docs7.online-sps.ru/cgi/online.cgi?req=doc&amp;base=LAW&amp;n=341786&amp;date=14.10.2025&amp;dst=100018&amp;field=134" TargetMode = "External"/>
	<Relationship Id="rId112" Type="http://schemas.openxmlformats.org/officeDocument/2006/relationships/hyperlink" Target="https://docs7.online-sps.ru/cgi/online.cgi?req=doc&amp;base=LAW&amp;n=447506&amp;date=14.10.2025&amp;dst=100021&amp;field=134" TargetMode = "External"/>
	<Relationship Id="rId113" Type="http://schemas.openxmlformats.org/officeDocument/2006/relationships/hyperlink" Target="https://docs7.online-sps.ru/cgi/online.cgi?req=doc&amp;base=LAW&amp;n=447431&amp;date=14.10.2025&amp;dst=100047&amp;field=134" TargetMode = "External"/>
	<Relationship Id="rId114" Type="http://schemas.openxmlformats.org/officeDocument/2006/relationships/hyperlink" Target="https://docs7.online-sps.ru/cgi/online.cgi?req=doc&amp;base=LAW&amp;n=194316&amp;date=14.10.2025&amp;dst=100009&amp;field=134" TargetMode = "External"/>
	<Relationship Id="rId115" Type="http://schemas.openxmlformats.org/officeDocument/2006/relationships/hyperlink" Target="https://docs7.online-sps.ru/cgi/online.cgi?req=doc&amp;base=LAW&amp;n=457862&amp;date=14.10.2025&amp;dst=100006&amp;field=134" TargetMode = "External"/>
	<Relationship Id="rId116" Type="http://schemas.openxmlformats.org/officeDocument/2006/relationships/hyperlink" Target="https://docs7.online-sps.ru/cgi/online.cgi?req=doc&amp;base=LAW&amp;n=509411&amp;date=14.10.2025&amp;dst=100117&amp;field=134" TargetMode = "External"/>
	<Relationship Id="rId117" Type="http://schemas.openxmlformats.org/officeDocument/2006/relationships/hyperlink" Target="https://docs7.online-sps.ru/cgi/online.cgi?req=doc&amp;base=LAW&amp;n=509411&amp;date=14.10.2025&amp;dst=100469&amp;field=134" TargetMode = "External"/>
	<Relationship Id="rId118" Type="http://schemas.openxmlformats.org/officeDocument/2006/relationships/hyperlink" Target="https://docs7.online-sps.ru/cgi/online.cgi?req=doc&amp;base=LAW&amp;n=509411&amp;date=14.10.2025&amp;dst=100466&amp;field=134" TargetMode = "External"/>
	<Relationship Id="rId119" Type="http://schemas.openxmlformats.org/officeDocument/2006/relationships/hyperlink" Target="https://docs7.online-sps.ru/cgi/online.cgi?req=doc&amp;base=LAW&amp;n=125458&amp;date=14.10.2025&amp;dst=100024&amp;field=134" TargetMode = "External"/>
	<Relationship Id="rId120" Type="http://schemas.openxmlformats.org/officeDocument/2006/relationships/hyperlink" Target="https://docs7.online-sps.ru/cgi/online.cgi?req=doc&amp;base=LAW&amp;n=447508&amp;date=14.10.2025&amp;dst=100018&amp;field=134" TargetMode = "External"/>
	<Relationship Id="rId121" Type="http://schemas.openxmlformats.org/officeDocument/2006/relationships/hyperlink" Target="https://docs7.online-sps.ru/cgi/online.cgi?req=doc&amp;base=LAW&amp;n=353901&amp;date=14.10.2025&amp;dst=100011&amp;field=134" TargetMode = "External"/>
	<Relationship Id="rId122" Type="http://schemas.openxmlformats.org/officeDocument/2006/relationships/hyperlink" Target="https://docs7.online-sps.ru/cgi/online.cgi?req=doc&amp;base=LAW&amp;n=447431&amp;date=14.10.2025&amp;dst=100048&amp;field=134" TargetMode = "External"/>
	<Relationship Id="rId123" Type="http://schemas.openxmlformats.org/officeDocument/2006/relationships/hyperlink" Target="https://docs7.online-sps.ru/cgi/online.cgi?req=doc&amp;base=LAW&amp;n=457862&amp;date=14.10.2025&amp;dst=100011&amp;field=134" TargetMode = "External"/>
	<Relationship Id="rId124" Type="http://schemas.openxmlformats.org/officeDocument/2006/relationships/hyperlink" Target="https://docs7.online-sps.ru/cgi/online.cgi?req=doc&amp;base=LAW&amp;n=509411&amp;date=14.10.2025&amp;dst=100469&amp;field=134" TargetMode = "External"/>
	<Relationship Id="rId125" Type="http://schemas.openxmlformats.org/officeDocument/2006/relationships/hyperlink" Target="https://docs7.online-sps.ru/cgi/online.cgi?req=doc&amp;base=LAW&amp;n=125458&amp;date=14.10.2025&amp;dst=100026&amp;field=134" TargetMode = "External"/>
	<Relationship Id="rId126" Type="http://schemas.openxmlformats.org/officeDocument/2006/relationships/hyperlink" Target="https://docs7.online-sps.ru/cgi/online.cgi?req=doc&amp;base=LAW&amp;n=509411&amp;date=14.10.2025&amp;dst=100550&amp;field=134" TargetMode = "External"/>
	<Relationship Id="rId127" Type="http://schemas.openxmlformats.org/officeDocument/2006/relationships/hyperlink" Target="https://docs7.online-sps.ru/cgi/online.cgi?req=doc&amp;base=LAW&amp;n=509411&amp;date=14.10.2025&amp;dst=100546&amp;field=134" TargetMode = "External"/>
	<Relationship Id="rId128" Type="http://schemas.openxmlformats.org/officeDocument/2006/relationships/hyperlink" Target="https://docs7.online-sps.ru/cgi/online.cgi?req=doc&amp;base=LAW&amp;n=509411&amp;date=14.10.2025&amp;dst=100547&amp;field=134" TargetMode = "External"/>
	<Relationship Id="rId129" Type="http://schemas.openxmlformats.org/officeDocument/2006/relationships/hyperlink" Target="https://docs7.online-sps.ru/cgi/online.cgi?req=doc&amp;base=LAW&amp;n=509233&amp;date=14.10.2025&amp;dst=100023&amp;field=134" TargetMode = "External"/>
	<Relationship Id="rId130" Type="http://schemas.openxmlformats.org/officeDocument/2006/relationships/hyperlink" Target="https://docs7.online-sps.ru/cgi/online.cgi?req=doc&amp;base=LAW&amp;n=491344&amp;date=14.10.2025&amp;dst=100031&amp;field=134" TargetMode = "External"/>
	<Relationship Id="rId131" Type="http://schemas.openxmlformats.org/officeDocument/2006/relationships/hyperlink" Target="https://docs7.online-sps.ru/cgi/online.cgi?req=doc&amp;base=LAW&amp;n=509233&amp;date=14.10.2025&amp;dst=100025&amp;field=134" TargetMode = "External"/>
	<Relationship Id="rId132" Type="http://schemas.openxmlformats.org/officeDocument/2006/relationships/hyperlink" Target="https://docs7.online-sps.ru/cgi/online.cgi?req=doc&amp;base=LAW&amp;n=194316&amp;date=14.10.2025&amp;dst=100013&amp;field=134" TargetMode = "External"/>
	<Relationship Id="rId133" Type="http://schemas.openxmlformats.org/officeDocument/2006/relationships/hyperlink" Target="https://docs7.online-sps.ru/cgi/online.cgi?req=doc&amp;base=LAW&amp;n=509411&amp;date=14.10.2025&amp;dst=28&amp;field=134" TargetMode = "External"/>
	<Relationship Id="rId134" Type="http://schemas.openxmlformats.org/officeDocument/2006/relationships/hyperlink" Target="https://docs7.online-sps.ru/cgi/online.cgi?req=doc&amp;base=LAW&amp;n=447508&amp;date=14.10.2025&amp;dst=100019&amp;field=134" TargetMode = "External"/>
	<Relationship Id="rId135" Type="http://schemas.openxmlformats.org/officeDocument/2006/relationships/hyperlink" Target="https://docs7.online-sps.ru/cgi/online.cgi?req=doc&amp;base=LAW&amp;n=84533&amp;date=14.10.2025&amp;dst=100023&amp;field=134" TargetMode = "External"/>
	<Relationship Id="rId136" Type="http://schemas.openxmlformats.org/officeDocument/2006/relationships/hyperlink" Target="https://docs7.online-sps.ru/cgi/online.cgi?req=doc&amp;base=LAW&amp;n=84533&amp;date=14.10.2025&amp;dst=100024&amp;field=134" TargetMode = "External"/>
	<Relationship Id="rId137" Type="http://schemas.openxmlformats.org/officeDocument/2006/relationships/hyperlink" Target="https://docs7.online-sps.ru/cgi/online.cgi?req=doc&amp;base=LAW&amp;n=447506&amp;date=14.10.2025&amp;dst=100023&amp;field=134" TargetMode = "External"/>
	<Relationship Id="rId138" Type="http://schemas.openxmlformats.org/officeDocument/2006/relationships/hyperlink" Target="https://docs7.online-sps.ru/cgi/online.cgi?req=doc&amp;base=LAW&amp;n=194316&amp;date=14.10.2025&amp;dst=100014&amp;field=134" TargetMode = "External"/>
	<Relationship Id="rId139" Type="http://schemas.openxmlformats.org/officeDocument/2006/relationships/hyperlink" Target="https://docs7.online-sps.ru/cgi/online.cgi?req=doc&amp;base=LAW&amp;n=296977&amp;date=14.10.2025&amp;dst=100015&amp;field=134" TargetMode = "External"/>
	<Relationship Id="rId140" Type="http://schemas.openxmlformats.org/officeDocument/2006/relationships/hyperlink" Target="https://docs7.online-sps.ru/cgi/online.cgi?req=doc&amp;base=LAW&amp;n=63499&amp;date=14.10.2025&amp;dst=100016&amp;field=134" TargetMode = "External"/>
	<Relationship Id="rId141" Type="http://schemas.openxmlformats.org/officeDocument/2006/relationships/hyperlink" Target="https://docs7.online-sps.ru/cgi/online.cgi?req=doc&amp;base=LAW&amp;n=509247&amp;date=14.10.2025&amp;dst=100013&amp;field=134" TargetMode = "External"/>
	<Relationship Id="rId142" Type="http://schemas.openxmlformats.org/officeDocument/2006/relationships/hyperlink" Target="https://docs7.online-sps.ru/cgi/online.cgi?req=doc&amp;base=LAW&amp;n=84533&amp;date=14.10.2025&amp;dst=100026&amp;field=134" TargetMode = "External"/>
	<Relationship Id="rId143" Type="http://schemas.openxmlformats.org/officeDocument/2006/relationships/hyperlink" Target="https://docs7.online-sps.ru/cgi/online.cgi?req=doc&amp;base=LAW&amp;n=125458&amp;date=14.10.2025&amp;dst=100029&amp;field=134" TargetMode = "External"/>
	<Relationship Id="rId144" Type="http://schemas.openxmlformats.org/officeDocument/2006/relationships/hyperlink" Target="https://docs7.online-sps.ru/cgi/online.cgi?req=doc&amp;base=LAW&amp;n=447508&amp;date=14.10.2025&amp;dst=100027&amp;field=134" TargetMode = "External"/>
	<Relationship Id="rId145" Type="http://schemas.openxmlformats.org/officeDocument/2006/relationships/hyperlink" Target="https://docs7.online-sps.ru/cgi/online.cgi?req=doc&amp;base=LAW&amp;n=447505&amp;date=14.10.2025&amp;dst=100018&amp;field=134" TargetMode = "External"/>
	<Relationship Id="rId146" Type="http://schemas.openxmlformats.org/officeDocument/2006/relationships/hyperlink" Target="https://docs7.online-sps.ru/cgi/online.cgi?req=doc&amp;base=LAW&amp;n=484355&amp;date=14.10.2025&amp;dst=100210&amp;field=134" TargetMode = "External"/>
	<Relationship Id="rId147" Type="http://schemas.openxmlformats.org/officeDocument/2006/relationships/hyperlink" Target="https://docs7.online-sps.ru/cgi/online.cgi?req=doc&amp;base=LAW&amp;n=447506&amp;date=14.10.2025&amp;dst=100024&amp;field=134" TargetMode = "External"/>
	<Relationship Id="rId148" Type="http://schemas.openxmlformats.org/officeDocument/2006/relationships/hyperlink" Target="https://docs7.online-sps.ru/cgi/online.cgi?req=doc&amp;base=LAW&amp;n=430531&amp;date=14.10.2025&amp;dst=100012&amp;field=134" TargetMode = "External"/>
	<Relationship Id="rId149" Type="http://schemas.openxmlformats.org/officeDocument/2006/relationships/hyperlink" Target="https://docs7.online-sps.ru/cgi/online.cgi?req=doc&amp;base=LAW&amp;n=447431&amp;date=14.10.2025&amp;dst=100049&amp;field=134" TargetMode = "External"/>
	<Relationship Id="rId150" Type="http://schemas.openxmlformats.org/officeDocument/2006/relationships/hyperlink" Target="https://docs7.online-sps.ru/cgi/online.cgi?req=doc&amp;base=LAW&amp;n=509233&amp;date=14.10.2025&amp;dst=100029&amp;field=134" TargetMode = "External"/>
	<Relationship Id="rId151" Type="http://schemas.openxmlformats.org/officeDocument/2006/relationships/hyperlink" Target="https://docs7.online-sps.ru/cgi/online.cgi?req=doc&amp;base=LAW&amp;n=509411&amp;date=14.10.2025&amp;dst=100051&amp;field=134" TargetMode = "External"/>
	<Relationship Id="rId152" Type="http://schemas.openxmlformats.org/officeDocument/2006/relationships/hyperlink" Target="https://docs7.online-sps.ru/cgi/online.cgi?req=doc&amp;base=LAW&amp;n=52982&amp;date=14.10.2025&amp;dst=100007&amp;field=134" TargetMode = "External"/>
	<Relationship Id="rId153" Type="http://schemas.openxmlformats.org/officeDocument/2006/relationships/hyperlink" Target="https://docs7.online-sps.ru/cgi/online.cgi?req=doc&amp;base=LAW&amp;n=484355&amp;date=14.10.2025&amp;dst=100211&amp;field=134" TargetMode = "External"/>
	<Relationship Id="rId154" Type="http://schemas.openxmlformats.org/officeDocument/2006/relationships/hyperlink" Target="https://docs7.online-sps.ru/cgi/online.cgi?req=doc&amp;base=LAW&amp;n=509411&amp;date=14.10.2025&amp;dst=100134&amp;field=134" TargetMode = "External"/>
	<Relationship Id="rId155" Type="http://schemas.openxmlformats.org/officeDocument/2006/relationships/hyperlink" Target="https://docs7.online-sps.ru/cgi/online.cgi?req=doc&amp;base=LAW&amp;n=447506&amp;date=14.10.2025&amp;dst=100026&amp;field=134" TargetMode = "External"/>
	<Relationship Id="rId156" Type="http://schemas.openxmlformats.org/officeDocument/2006/relationships/hyperlink" Target="https://docs7.online-sps.ru/cgi/online.cgi?req=doc&amp;base=LAW&amp;n=509411&amp;date=14.10.2025&amp;dst=100134&amp;field=134" TargetMode = "External"/>
	<Relationship Id="rId157" Type="http://schemas.openxmlformats.org/officeDocument/2006/relationships/hyperlink" Target="https://docs7.online-sps.ru/cgi/online.cgi?req=doc&amp;base=LAW&amp;n=509411&amp;date=14.10.2025&amp;dst=100537&amp;field=134" TargetMode = "External"/>
	<Relationship Id="rId158" Type="http://schemas.openxmlformats.org/officeDocument/2006/relationships/hyperlink" Target="https://docs7.online-sps.ru/cgi/online.cgi?req=doc&amp;base=LAW&amp;n=447506&amp;date=14.10.2025&amp;dst=100027&amp;field=134" TargetMode = "External"/>
	<Relationship Id="rId159" Type="http://schemas.openxmlformats.org/officeDocument/2006/relationships/hyperlink" Target="https://docs7.online-sps.ru/cgi/online.cgi?req=doc&amp;base=LAW&amp;n=447431&amp;date=14.10.2025&amp;dst=100050&amp;field=134" TargetMode = "External"/>
	<Relationship Id="rId160" Type="http://schemas.openxmlformats.org/officeDocument/2006/relationships/hyperlink" Target="https://docs7.online-sps.ru/cgi/online.cgi?req=doc&amp;base=LAW&amp;n=509411&amp;date=14.10.2025&amp;dst=100014&amp;field=134" TargetMode = "External"/>
	<Relationship Id="rId161" Type="http://schemas.openxmlformats.org/officeDocument/2006/relationships/hyperlink" Target="https://docs7.online-sps.ru/cgi/online.cgi?req=doc&amp;base=LAW&amp;n=482696&amp;date=14.10.2025&amp;dst=100176&amp;field=134" TargetMode = "External"/>
	<Relationship Id="rId162" Type="http://schemas.openxmlformats.org/officeDocument/2006/relationships/hyperlink" Target="https://docs7.online-sps.ru/cgi/online.cgi?req=doc&amp;base=LAW&amp;n=484355&amp;date=14.10.2025&amp;dst=100212&amp;field=134" TargetMode = "External"/>
	<Relationship Id="rId163" Type="http://schemas.openxmlformats.org/officeDocument/2006/relationships/hyperlink" Target="https://docs7.online-sps.ru/cgi/online.cgi?req=doc&amp;base=LAW&amp;n=482696&amp;date=14.10.2025&amp;dst=100176&amp;field=134" TargetMode = "External"/>
	<Relationship Id="rId164" Type="http://schemas.openxmlformats.org/officeDocument/2006/relationships/hyperlink" Target="https://docs7.online-sps.ru/cgi/online.cgi?req=doc&amp;base=LAW&amp;n=484355&amp;date=14.10.2025&amp;dst=100212&amp;field=134" TargetMode = "External"/>
	<Relationship Id="rId165" Type="http://schemas.openxmlformats.org/officeDocument/2006/relationships/hyperlink" Target="https://docs7.online-sps.ru/cgi/online.cgi?req=doc&amp;base=LAW&amp;n=84533&amp;date=14.10.2025&amp;dst=100027&amp;field=134" TargetMode = "External"/>
	<Relationship Id="rId166" Type="http://schemas.openxmlformats.org/officeDocument/2006/relationships/hyperlink" Target="https://docs7.online-sps.ru/cgi/online.cgi?req=doc&amp;base=LAW&amp;n=511485&amp;date=14.10.2025" TargetMode = "External"/>
	<Relationship Id="rId167" Type="http://schemas.openxmlformats.org/officeDocument/2006/relationships/hyperlink" Target="https://docs7.online-sps.ru/cgi/online.cgi?req=doc&amp;base=LAW&amp;n=484355&amp;date=14.10.2025&amp;dst=100212&amp;field=134" TargetMode = "External"/>
	<Relationship Id="rId168" Type="http://schemas.openxmlformats.org/officeDocument/2006/relationships/hyperlink" Target="https://docs7.online-sps.ru/cgi/online.cgi?req=doc&amp;base=LAW&amp;n=484355&amp;date=14.10.2025&amp;dst=100212&amp;field=134" TargetMode = "External"/>
	<Relationship Id="rId169" Type="http://schemas.openxmlformats.org/officeDocument/2006/relationships/hyperlink" Target="https://docs7.online-sps.ru/cgi/online.cgi?req=doc&amp;base=LAW&amp;n=84533&amp;date=14.10.2025&amp;dst=100027&amp;field=134" TargetMode = "External"/>
	<Relationship Id="rId170" Type="http://schemas.openxmlformats.org/officeDocument/2006/relationships/hyperlink" Target="https://docs7.online-sps.ru/cgi/online.cgi?req=doc&amp;base=LAW&amp;n=484355&amp;date=14.10.2025&amp;dst=100212&amp;field=134" TargetMode = "External"/>
	<Relationship Id="rId171" Type="http://schemas.openxmlformats.org/officeDocument/2006/relationships/hyperlink" Target="https://docs7.online-sps.ru/cgi/online.cgi?req=doc&amp;base=LAW&amp;n=447431&amp;date=14.10.2025&amp;dst=100051&amp;field=134" TargetMode = "External"/>
	<Relationship Id="rId172" Type="http://schemas.openxmlformats.org/officeDocument/2006/relationships/hyperlink" Target="https://docs7.online-sps.ru/cgi/online.cgi?req=doc&amp;base=LAW&amp;n=509247&amp;date=14.10.2025&amp;dst=100014&amp;field=134" TargetMode = "External"/>
	<Relationship Id="rId173" Type="http://schemas.openxmlformats.org/officeDocument/2006/relationships/hyperlink" Target="https://docs7.online-sps.ru/cgi/online.cgi?req=doc&amp;base=LAW&amp;n=84533&amp;date=14.10.2025&amp;dst=100027&amp;field=134" TargetMode = "External"/>
	<Relationship Id="rId174" Type="http://schemas.openxmlformats.org/officeDocument/2006/relationships/hyperlink" Target="https://docs7.online-sps.ru/cgi/online.cgi?req=doc&amp;base=LAW&amp;n=484355&amp;date=14.10.2025&amp;dst=100212&amp;field=134" TargetMode = "External"/>
	<Relationship Id="rId175" Type="http://schemas.openxmlformats.org/officeDocument/2006/relationships/hyperlink" Target="https://docs7.online-sps.ru/cgi/online.cgi?req=doc&amp;base=LAW&amp;n=84533&amp;date=14.10.2025&amp;dst=100028&amp;field=134" TargetMode = "External"/>
	<Relationship Id="rId176" Type="http://schemas.openxmlformats.org/officeDocument/2006/relationships/hyperlink" Target="https://docs7.online-sps.ru/cgi/online.cgi?req=doc&amp;base=LAW&amp;n=484355&amp;date=14.10.2025&amp;dst=100212&amp;field=134" TargetMode = "External"/>
	<Relationship Id="rId177" Type="http://schemas.openxmlformats.org/officeDocument/2006/relationships/hyperlink" Target="https://docs7.online-sps.ru/cgi/online.cgi?req=doc&amp;base=LAW&amp;n=484355&amp;date=14.10.2025&amp;dst=100212&amp;field=134" TargetMode = "External"/>
	<Relationship Id="rId178" Type="http://schemas.openxmlformats.org/officeDocument/2006/relationships/hyperlink" Target="https://docs7.online-sps.ru/cgi/online.cgi?req=doc&amp;base=LAW&amp;n=484355&amp;date=14.10.2025&amp;dst=100212&amp;field=134" TargetMode = "External"/>
	<Relationship Id="rId179" Type="http://schemas.openxmlformats.org/officeDocument/2006/relationships/hyperlink" Target="https://docs7.online-sps.ru/cgi/online.cgi?req=doc&amp;base=LAW&amp;n=447508&amp;date=14.10.2025&amp;dst=100028&amp;field=134" TargetMode = "External"/>
	<Relationship Id="rId180" Type="http://schemas.openxmlformats.org/officeDocument/2006/relationships/hyperlink" Target="https://docs7.online-sps.ru/cgi/online.cgi?req=doc&amp;base=LAW&amp;n=447508&amp;date=14.10.2025&amp;dst=100032&amp;field=134" TargetMode = "External"/>
	<Relationship Id="rId181" Type="http://schemas.openxmlformats.org/officeDocument/2006/relationships/hyperlink" Target="https://docs7.online-sps.ru/cgi/online.cgi?req=doc&amp;base=LAW&amp;n=484355&amp;date=14.10.2025&amp;dst=100212&amp;field=134" TargetMode = "External"/>
	<Relationship Id="rId182" Type="http://schemas.openxmlformats.org/officeDocument/2006/relationships/hyperlink" Target="https://docs7.online-sps.ru/cgi/online.cgi?req=doc&amp;base=LAW&amp;n=487051&amp;date=14.10.2025&amp;dst=100351&amp;field=134" TargetMode = "External"/>
	<Relationship Id="rId183" Type="http://schemas.openxmlformats.org/officeDocument/2006/relationships/hyperlink" Target="https://docs7.online-sps.ru/cgi/online.cgi?req=doc&amp;base=LAW&amp;n=484355&amp;date=14.10.2025&amp;dst=100212&amp;field=134" TargetMode = "External"/>
	<Relationship Id="rId184" Type="http://schemas.openxmlformats.org/officeDocument/2006/relationships/hyperlink" Target="https://docs7.online-sps.ru/cgi/online.cgi?req=doc&amp;base=LAW&amp;n=484355&amp;date=14.10.2025&amp;dst=100212&amp;field=134" TargetMode = "External"/>
	<Relationship Id="rId185" Type="http://schemas.openxmlformats.org/officeDocument/2006/relationships/hyperlink" Target="https://docs7.online-sps.ru/cgi/online.cgi?req=doc&amp;base=LAW&amp;n=84533&amp;date=14.10.2025&amp;dst=100029&amp;field=134" TargetMode = "External"/>
	<Relationship Id="rId186" Type="http://schemas.openxmlformats.org/officeDocument/2006/relationships/hyperlink" Target="https://docs7.online-sps.ru/cgi/online.cgi?req=doc&amp;base=LAW&amp;n=484355&amp;date=14.10.2025&amp;dst=100212&amp;field=134" TargetMode = "External"/>
	<Relationship Id="rId187" Type="http://schemas.openxmlformats.org/officeDocument/2006/relationships/hyperlink" Target="https://docs7.online-sps.ru/cgi/online.cgi?req=doc&amp;base=LAW&amp;n=447506&amp;date=14.10.2025&amp;dst=100030&amp;field=134" TargetMode = "External"/>
	<Relationship Id="rId188" Type="http://schemas.openxmlformats.org/officeDocument/2006/relationships/hyperlink" Target="https://docs7.online-sps.ru/cgi/online.cgi?req=doc&amp;base=LAW&amp;n=430531&amp;date=14.10.2025&amp;dst=100013&amp;field=134" TargetMode = "External"/>
	<Relationship Id="rId189" Type="http://schemas.openxmlformats.org/officeDocument/2006/relationships/hyperlink" Target="https://docs7.online-sps.ru/cgi/online.cgi?req=doc&amp;base=LAW&amp;n=509411&amp;date=14.10.2025&amp;dst=18&amp;field=134" TargetMode = "External"/>
	<Relationship Id="rId190" Type="http://schemas.openxmlformats.org/officeDocument/2006/relationships/hyperlink" Target="https://docs7.online-sps.ru/cgi/online.cgi?req=doc&amp;base=LAW&amp;n=509411&amp;date=14.10.2025&amp;dst=100117&amp;field=134" TargetMode = "External"/>
	<Relationship Id="rId191" Type="http://schemas.openxmlformats.org/officeDocument/2006/relationships/hyperlink" Target="https://docs7.online-sps.ru/cgi/online.cgi?req=doc&amp;base=LAW&amp;n=509411&amp;date=14.10.2025&amp;dst=20&amp;field=134" TargetMode = "External"/>
	<Relationship Id="rId192" Type="http://schemas.openxmlformats.org/officeDocument/2006/relationships/hyperlink" Target="https://docs7.online-sps.ru/cgi/online.cgi?req=doc&amp;base=LAW&amp;n=447431&amp;date=14.10.2025&amp;dst=100052&amp;field=134" TargetMode = "External"/>
	<Relationship Id="rId193" Type="http://schemas.openxmlformats.org/officeDocument/2006/relationships/hyperlink" Target="https://docs7.online-sps.ru/cgi/online.cgi?req=doc&amp;base=LAW&amp;n=509411&amp;date=14.10.2025&amp;dst=100540&amp;field=134" TargetMode = "External"/>
	<Relationship Id="rId194" Type="http://schemas.openxmlformats.org/officeDocument/2006/relationships/hyperlink" Target="https://docs7.online-sps.ru/cgi/online.cgi?req=doc&amp;base=LAW&amp;n=341786&amp;date=14.10.2025&amp;dst=100018&amp;field=134" TargetMode = "External"/>
	<Relationship Id="rId195" Type="http://schemas.openxmlformats.org/officeDocument/2006/relationships/hyperlink" Target="https://docs7.online-sps.ru/cgi/online.cgi?req=doc&amp;base=LAW&amp;n=447431&amp;date=14.10.2025&amp;dst=100055&amp;field=134" TargetMode = "External"/>
	<Relationship Id="rId196" Type="http://schemas.openxmlformats.org/officeDocument/2006/relationships/hyperlink" Target="https://docs7.online-sps.ru/cgi/online.cgi?req=doc&amp;base=LAW&amp;n=447431&amp;date=14.10.2025&amp;dst=100057&amp;field=134" TargetMode = "External"/>
	<Relationship Id="rId197" Type="http://schemas.openxmlformats.org/officeDocument/2006/relationships/hyperlink" Target="https://docs7.online-sps.ru/cgi/online.cgi?req=doc&amp;base=LAW&amp;n=447431&amp;date=14.10.2025&amp;dst=100058&amp;field=134" TargetMode = "External"/>
	<Relationship Id="rId198" Type="http://schemas.openxmlformats.org/officeDocument/2006/relationships/hyperlink" Target="https://docs7.online-sps.ru/cgi/online.cgi?req=doc&amp;base=LAW&amp;n=447431&amp;date=14.10.2025&amp;dst=100060&amp;field=134" TargetMode = "External"/>
	<Relationship Id="rId199" Type="http://schemas.openxmlformats.org/officeDocument/2006/relationships/hyperlink" Target="https://docs7.online-sps.ru/cgi/online.cgi?req=doc&amp;base=LAW&amp;n=447506&amp;date=14.10.2025&amp;dst=100031&amp;field=134" TargetMode = "External"/>
	<Relationship Id="rId200" Type="http://schemas.openxmlformats.org/officeDocument/2006/relationships/hyperlink" Target="https://docs7.online-sps.ru/cgi/online.cgi?req=doc&amp;base=LAW&amp;n=509411&amp;date=14.10.2025&amp;dst=100515&amp;field=134" TargetMode = "External"/>
	<Relationship Id="rId201" Type="http://schemas.openxmlformats.org/officeDocument/2006/relationships/hyperlink" Target="https://docs7.online-sps.ru/cgi/online.cgi?req=doc&amp;base=LAW&amp;n=447431&amp;date=14.10.2025&amp;dst=100061&amp;field=134" TargetMode = "External"/>
	<Relationship Id="rId202" Type="http://schemas.openxmlformats.org/officeDocument/2006/relationships/hyperlink" Target="https://docs7.online-sps.ru/cgi/online.cgi?req=doc&amp;base=LAW&amp;n=491344&amp;date=14.10.2025&amp;dst=100031&amp;field=134" TargetMode = "External"/>
	<Relationship Id="rId203" Type="http://schemas.openxmlformats.org/officeDocument/2006/relationships/hyperlink" Target="https://docs7.online-sps.ru/cgi/online.cgi?req=doc&amp;base=LAW&amp;n=509233&amp;date=14.10.2025&amp;dst=100029&amp;field=134" TargetMode = "External"/>
	<Relationship Id="rId204" Type="http://schemas.openxmlformats.org/officeDocument/2006/relationships/hyperlink" Target="https://docs7.online-sps.ru/cgi/online.cgi?req=doc&amp;base=LAW&amp;n=447431&amp;date=14.10.2025&amp;dst=100066&amp;field=134" TargetMode = "External"/>
	<Relationship Id="rId205" Type="http://schemas.openxmlformats.org/officeDocument/2006/relationships/hyperlink" Target="https://docs7.online-sps.ru/cgi/online.cgi?req=doc&amp;base=LAW&amp;n=447506&amp;date=14.10.2025&amp;dst=100036&amp;field=134" TargetMode = "External"/>
	<Relationship Id="rId206" Type="http://schemas.openxmlformats.org/officeDocument/2006/relationships/hyperlink" Target="https://docs7.online-sps.ru/cgi/online.cgi?req=doc&amp;base=LAW&amp;n=447431&amp;date=14.10.2025&amp;dst=100069&amp;field=134" TargetMode = "External"/>
	<Relationship Id="rId207" Type="http://schemas.openxmlformats.org/officeDocument/2006/relationships/hyperlink" Target="https://docs7.online-sps.ru/cgi/online.cgi?req=doc&amp;base=LAW&amp;n=447505&amp;date=14.10.2025&amp;dst=100023&amp;field=134" TargetMode = "External"/>
	<Relationship Id="rId208" Type="http://schemas.openxmlformats.org/officeDocument/2006/relationships/hyperlink" Target="https://docs7.online-sps.ru/cgi/online.cgi?req=doc&amp;base=LAW&amp;n=447506&amp;date=14.10.2025&amp;dst=100037&amp;field=134" TargetMode = "External"/>
	<Relationship Id="rId209" Type="http://schemas.openxmlformats.org/officeDocument/2006/relationships/hyperlink" Target="https://docs7.online-sps.ru/cgi/online.cgi?req=doc&amp;base=LAW&amp;n=447431&amp;date=14.10.2025&amp;dst=100070&amp;field=134" TargetMode = "External"/>
	<Relationship Id="rId210" Type="http://schemas.openxmlformats.org/officeDocument/2006/relationships/hyperlink" Target="https://docs7.online-sps.ru/cgi/online.cgi?req=doc&amp;base=LAW&amp;n=509411&amp;date=14.10.2025&amp;dst=100515&amp;field=134" TargetMode = "External"/>
	<Relationship Id="rId211" Type="http://schemas.openxmlformats.org/officeDocument/2006/relationships/hyperlink" Target="https://docs7.online-sps.ru/cgi/online.cgi?req=doc&amp;base=LAW&amp;n=447431&amp;date=14.10.2025&amp;dst=100072&amp;field=134" TargetMode = "External"/>
	<Relationship Id="rId212" Type="http://schemas.openxmlformats.org/officeDocument/2006/relationships/hyperlink" Target="https://docs7.online-sps.ru/cgi/online.cgi?req=doc&amp;base=LAW&amp;n=509411&amp;date=14.10.2025&amp;dst=100515&amp;field=134" TargetMode = "External"/>
	<Relationship Id="rId213" Type="http://schemas.openxmlformats.org/officeDocument/2006/relationships/hyperlink" Target="https://docs7.online-sps.ru/cgi/online.cgi?req=doc&amp;base=LAW&amp;n=484355&amp;date=14.10.2025&amp;dst=100212&amp;field=134" TargetMode = "External"/>
	<Relationship Id="rId214" Type="http://schemas.openxmlformats.org/officeDocument/2006/relationships/hyperlink" Target="https://docs7.online-sps.ru/cgi/online.cgi?req=doc&amp;base=LAW&amp;n=447431&amp;date=14.10.2025&amp;dst=100075&amp;field=134" TargetMode = "External"/>
	<Relationship Id="rId215" Type="http://schemas.openxmlformats.org/officeDocument/2006/relationships/hyperlink" Target="https://docs7.online-sps.ru/cgi/online.cgi?req=doc&amp;base=LAW&amp;n=447508&amp;date=14.10.2025&amp;dst=100033&amp;field=134" TargetMode = "External"/>
	<Relationship Id="rId216" Type="http://schemas.openxmlformats.org/officeDocument/2006/relationships/hyperlink" Target="https://docs7.online-sps.ru/cgi/online.cgi?req=doc&amp;base=LAW&amp;n=447431&amp;date=14.10.2025&amp;dst=100076&amp;field=134" TargetMode = "External"/>
	<Relationship Id="rId217" Type="http://schemas.openxmlformats.org/officeDocument/2006/relationships/hyperlink" Target="https://docs7.online-sps.ru/cgi/online.cgi?req=doc&amp;base=LAW&amp;n=509411&amp;date=14.10.2025&amp;dst=100515&amp;field=134" TargetMode = "External"/>
	<Relationship Id="rId218" Type="http://schemas.openxmlformats.org/officeDocument/2006/relationships/hyperlink" Target="https://docs7.online-sps.ru/cgi/online.cgi?req=doc&amp;base=LAW&amp;n=447431&amp;date=14.10.2025&amp;dst=100077&amp;field=134" TargetMode = "External"/>
	<Relationship Id="rId219" Type="http://schemas.openxmlformats.org/officeDocument/2006/relationships/hyperlink" Target="https://docs7.online-sps.ru/cgi/online.cgi?req=doc&amp;base=LAW&amp;n=484355&amp;date=14.10.2025&amp;dst=100212&amp;field=134" TargetMode = "External"/>
	<Relationship Id="rId220" Type="http://schemas.openxmlformats.org/officeDocument/2006/relationships/hyperlink" Target="https://docs7.online-sps.ru/cgi/online.cgi?req=doc&amp;base=LAW&amp;n=447508&amp;date=14.10.2025&amp;dst=100035&amp;field=134" TargetMode = "External"/>
	<Relationship Id="rId221" Type="http://schemas.openxmlformats.org/officeDocument/2006/relationships/hyperlink" Target="https://docs7.online-sps.ru/cgi/online.cgi?req=doc&amp;base=LAW&amp;n=484355&amp;date=14.10.2025&amp;dst=100212&amp;field=134" TargetMode = "External"/>
	<Relationship Id="rId222" Type="http://schemas.openxmlformats.org/officeDocument/2006/relationships/hyperlink" Target="https://docs7.online-sps.ru/cgi/online.cgi?req=doc&amp;base=LAW&amp;n=447506&amp;date=14.10.2025&amp;dst=100040&amp;field=134" TargetMode = "External"/>
	<Relationship Id="rId223" Type="http://schemas.openxmlformats.org/officeDocument/2006/relationships/hyperlink" Target="https://docs7.online-sps.ru/cgi/online.cgi?req=doc&amp;base=LAW&amp;n=447506&amp;date=14.10.2025&amp;dst=100041&amp;field=134" TargetMode = "External"/>
	<Relationship Id="rId224" Type="http://schemas.openxmlformats.org/officeDocument/2006/relationships/hyperlink" Target="https://docs7.online-sps.ru/cgi/online.cgi?req=doc&amp;base=LAW&amp;n=509247&amp;date=14.10.2025&amp;dst=100020&amp;field=134" TargetMode = "External"/>
	<Relationship Id="rId225" Type="http://schemas.openxmlformats.org/officeDocument/2006/relationships/hyperlink" Target="https://docs7.online-sps.ru/cgi/online.cgi?req=doc&amp;base=LAW&amp;n=484355&amp;date=14.10.2025&amp;dst=100212&amp;field=134" TargetMode = "External"/>
	<Relationship Id="rId226" Type="http://schemas.openxmlformats.org/officeDocument/2006/relationships/hyperlink" Target="https://docs7.online-sps.ru/cgi/online.cgi?req=doc&amp;base=LAW&amp;n=509247&amp;date=14.10.2025&amp;dst=100021&amp;field=134" TargetMode = "External"/>
	<Relationship Id="rId227" Type="http://schemas.openxmlformats.org/officeDocument/2006/relationships/hyperlink" Target="https://docs7.online-sps.ru/cgi/online.cgi?req=doc&amp;base=LAW&amp;n=447508&amp;date=14.10.2025&amp;dst=100039&amp;field=134" TargetMode = "External"/>
	<Relationship Id="rId228" Type="http://schemas.openxmlformats.org/officeDocument/2006/relationships/hyperlink" Target="https://docs7.online-sps.ru/cgi/online.cgi?req=doc&amp;base=LAW&amp;n=484355&amp;date=14.10.2025&amp;dst=100212&amp;field=134" TargetMode = "External"/>
	<Relationship Id="rId229" Type="http://schemas.openxmlformats.org/officeDocument/2006/relationships/hyperlink" Target="https://docs7.online-sps.ru/cgi/online.cgi?req=doc&amp;base=LAW&amp;n=509247&amp;date=14.10.2025&amp;dst=100022&amp;field=134" TargetMode = "External"/>
	<Relationship Id="rId230" Type="http://schemas.openxmlformats.org/officeDocument/2006/relationships/hyperlink" Target="https://docs7.online-sps.ru/cgi/online.cgi?req=doc&amp;base=LAW&amp;n=484355&amp;date=14.10.2025&amp;dst=100212&amp;field=134" TargetMode = "External"/>
	<Relationship Id="rId231" Type="http://schemas.openxmlformats.org/officeDocument/2006/relationships/hyperlink" Target="https://docs7.online-sps.ru/cgi/online.cgi?req=doc&amp;base=LAW&amp;n=63499&amp;date=14.10.2025&amp;dst=100070&amp;field=134" TargetMode = "External"/>
	<Relationship Id="rId232" Type="http://schemas.openxmlformats.org/officeDocument/2006/relationships/hyperlink" Target="https://docs7.online-sps.ru/cgi/online.cgi?req=doc&amp;base=LAW&amp;n=499543&amp;date=14.10.2025&amp;dst=100010&amp;field=134" TargetMode = "External"/>
	<Relationship Id="rId233" Type="http://schemas.openxmlformats.org/officeDocument/2006/relationships/hyperlink" Target="https://docs7.online-sps.ru/cgi/online.cgi?req=doc&amp;base=LAW&amp;n=509411&amp;date=14.10.2025&amp;dst=100053&amp;field=134" TargetMode = "External"/>
	<Relationship Id="rId234" Type="http://schemas.openxmlformats.org/officeDocument/2006/relationships/hyperlink" Target="https://docs7.online-sps.ru/cgi/online.cgi?req=doc&amp;base=LAW&amp;n=509411&amp;date=14.10.2025&amp;dst=100014&amp;field=134" TargetMode = "External"/>
	<Relationship Id="rId235" Type="http://schemas.openxmlformats.org/officeDocument/2006/relationships/hyperlink" Target="https://docs7.online-sps.ru/cgi/online.cgi?req=doc&amp;base=LAW&amp;n=52982&amp;date=14.10.2025&amp;dst=100007&amp;field=134" TargetMode = "External"/>
	<Relationship Id="rId236" Type="http://schemas.openxmlformats.org/officeDocument/2006/relationships/hyperlink" Target="https://docs7.online-sps.ru/cgi/online.cgi?req=doc&amp;base=LAW&amp;n=499543&amp;date=14.10.2025&amp;dst=100011&amp;field=134" TargetMode = "External"/>
	<Relationship Id="rId237" Type="http://schemas.openxmlformats.org/officeDocument/2006/relationships/hyperlink" Target="https://docs7.online-sps.ru/cgi/online.cgi?req=doc&amp;base=LAW&amp;n=499543&amp;date=14.10.2025&amp;dst=100012&amp;field=134" TargetMode = "External"/>
	<Relationship Id="rId238" Type="http://schemas.openxmlformats.org/officeDocument/2006/relationships/hyperlink" Target="https://docs7.online-sps.ru/cgi/online.cgi?req=doc&amp;base=LAW&amp;n=509411&amp;date=14.10.2025&amp;dst=100471&amp;field=134" TargetMode = "External"/>
	<Relationship Id="rId239" Type="http://schemas.openxmlformats.org/officeDocument/2006/relationships/hyperlink" Target="https://docs7.online-sps.ru/cgi/online.cgi?req=doc&amp;base=LAW&amp;n=509411&amp;date=14.10.2025&amp;dst=100464&amp;field=134" TargetMode = "External"/>
	<Relationship Id="rId240" Type="http://schemas.openxmlformats.org/officeDocument/2006/relationships/hyperlink" Target="https://docs7.online-sps.ru/cgi/online.cgi?req=doc&amp;base=LAW&amp;n=509411&amp;date=14.10.2025&amp;dst=100545&amp;field=134" TargetMode = "External"/>
	<Relationship Id="rId241" Type="http://schemas.openxmlformats.org/officeDocument/2006/relationships/hyperlink" Target="https://docs7.online-sps.ru/cgi/online.cgi?req=doc&amp;base=LAW&amp;n=509411&amp;date=14.10.2025&amp;dst=100160&amp;field=134" TargetMode = "External"/>
	<Relationship Id="rId242" Type="http://schemas.openxmlformats.org/officeDocument/2006/relationships/hyperlink" Target="https://docs7.online-sps.ru/cgi/online.cgi?req=doc&amp;base=LAW&amp;n=509411&amp;date=14.10.2025&amp;dst=100545&amp;field=134" TargetMode = "External"/>
	<Relationship Id="rId243" Type="http://schemas.openxmlformats.org/officeDocument/2006/relationships/hyperlink" Target="https://docs7.online-sps.ru/cgi/online.cgi?req=doc&amp;base=LAW&amp;n=509411&amp;date=14.10.2025&amp;dst=100162&amp;field=134" TargetMode = "External"/>
	<Relationship Id="rId244" Type="http://schemas.openxmlformats.org/officeDocument/2006/relationships/header" Target="header2.xml"/>
	<Relationship Id="rId245" Type="http://schemas.openxmlformats.org/officeDocument/2006/relationships/footer" Target="footer2.xm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foot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07.11.2005 N 655
(ред. от 01.07.2025)
"О порядке функционирования накопительно-ипотечной системы жилищного обеспечения военнослужащих"
(вместе с "Правилами ведения именных накопительных счетов участников накопительно-ипотечной системы жилищного обеспечения военнослужащих", "Правилами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dc:title>
  <dcterms:created xsi:type="dcterms:W3CDTF">2025-10-14T07:30:29Z</dcterms:created>
</cp:coreProperties>
</file>