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78442181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color w:val="000000" w:themeColor="text1"/>
          <w:sz w:val="32"/>
          <w:szCs w:val="32"/>
        </w:rPr>
      </w:sdtPr>
      <w:sdtContent>
        <w:p>
          <w:pPr>
            <w:pStyle w:val="924"/>
            <w:pBdr/>
            <w:tabs>
              <w:tab w:val="right" w:leader="dot" w:pos="9355"/>
            </w:tabs>
            <w:spacing/>
            <w:ind/>
            <w:rPr/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1" w:anchor="_Toc1" w:history="1">
            <w:r>
              <w:rPr>
                <w:rStyle w:val="922"/>
              </w:rPr>
              <w:t xml:space="preserve">1. Введение</w:t>
            </w:r>
            <w:r>
              <w:tab/>
            </w:r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2" w:anchor="_Toc2" w:history="1">
            <w:r>
              <w:rPr>
                <w:rStyle w:val="922"/>
              </w:rPr>
              <w:t xml:space="preserve">1.1. Цель регламента и область применения</w:t>
            </w:r>
            <w:r>
              <w:tab/>
            </w:r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3" w:anchor="_Toc3" w:history="1">
            <w:r>
              <w:rPr>
                <w:rStyle w:val="922"/>
              </w:rPr>
              <w:t xml:space="preserve">1.2. О</w:t>
            </w:r>
            <w:r>
              <w:rPr>
                <w:rStyle w:val="922"/>
              </w:rPr>
              <w:t xml:space="preserve">пределение технического долга</w:t>
            </w:r>
            <w:r>
              <w:tab/>
            </w:r>
            <w:r>
              <w:fldChar w:fldCharType="begin"/>
            </w:r>
            <w:r>
              <w:instrText xml:space="preserve">PAGEREF _Toc3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4" w:anchor="_Toc4" w:history="1">
            <w:r>
              <w:rPr>
                <w:rStyle w:val="922"/>
              </w:rPr>
              <w:t xml:space="preserve">1.3. Термины</w:t>
            </w:r>
            <w:r>
              <w:tab/>
            </w:r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5" w:anchor="_Toc5" w:history="1">
            <w:r>
              <w:rPr>
                <w:rStyle w:val="922"/>
              </w:rPr>
              <w:t xml:space="preserve">1.4. Принципы управления техническим долгом </w:t>
            </w:r>
            <w:r>
              <w:tab/>
            </w:r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6" w:anchor="_Toc6" w:history="1">
            <w:r>
              <w:rPr>
                <w:rStyle w:val="922"/>
              </w:rPr>
              <w:t xml:space="preserve">1.5. Схема процесса работы с ТД</w:t>
            </w:r>
            <w:r>
              <w:tab/>
            </w:r>
            <w:r>
              <w:fldChar w:fldCharType="begin"/>
            </w:r>
            <w:r>
              <w:instrText xml:space="preserve">PAGEREF _Toc6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7" w:anchor="_Toc7" w:history="1">
            <w:r>
              <w:rPr>
                <w:rStyle w:val="922"/>
              </w:rPr>
              <w:t xml:space="preserve">1.6. Описание шагов в рамках процесса</w:t>
            </w:r>
            <w:r>
              <w:tab/>
            </w:r>
            <w:r>
              <w:fldChar w:fldCharType="begin"/>
            </w:r>
            <w:r>
              <w:instrText xml:space="preserve">PAGEREF _Toc7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8" w:anchor="_Toc8" w:history="1">
            <w:r>
              <w:rPr>
                <w:rStyle w:val="922"/>
              </w:rPr>
              <w:t xml:space="preserve">1.7. Ответственные лица и их роли</w:t>
            </w:r>
            <w:r>
              <w:tab/>
            </w:r>
            <w:r>
              <w:fldChar w:fldCharType="begin"/>
            </w:r>
            <w:r>
              <w:instrText xml:space="preserve">PAGE</w:instrText>
            </w:r>
            <w:r>
              <w:instrText xml:space="preserve">REF _Toc8 \h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24"/>
            <w:pBdr/>
            <w:tabs>
              <w:tab w:val="right" w:leader="dot" w:pos="9355"/>
            </w:tabs>
            <w:spacing/>
            <w:ind/>
            <w:rPr>
              <w:rStyle w:val="887"/>
            </w:rPr>
          </w:pPr>
          <w:r/>
          <w:hyperlink w:tooltip="#_Toc9" w:anchor="_Toc9" w:history="1">
            <w:r>
              <w:rPr>
                <w:rStyle w:val="922"/>
              </w:rPr>
              <w:t xml:space="preserve">2. Идентификация и оценка технического долга</w:t>
            </w:r>
            <w:r>
              <w:tab/>
            </w:r>
            <w:r>
              <w:fldChar w:fldCharType="begin"/>
            </w:r>
            <w:r>
              <w:instrText xml:space="preserve">PAGEREF _Toc9 \h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Style w:val="887"/>
            </w:rPr>
          </w:r>
          <w:r>
            <w:rPr>
              <w:rStyle w:val="887"/>
            </w:rPr>
          </w:r>
        </w:p>
        <w:p>
          <w:pPr>
            <w:pStyle w:val="925"/>
            <w:pBdr/>
            <w:tabs>
              <w:tab w:val="right" w:leader="dot" w:pos="9355"/>
            </w:tabs>
            <w:spacing/>
            <w:ind/>
            <w:rPr>
              <w:highlight w:val="yellow"/>
            </w:rPr>
          </w:pPr>
          <w:r/>
          <w:hyperlink w:tooltip="#_Toc10" w:anchor="_Toc10" w:history="1">
            <w:r>
              <w:rPr>
                <w:rStyle w:val="922"/>
              </w:rPr>
              <w:t xml:space="preserve">2.1. Инициация технического долга</w:t>
            </w:r>
            <w:r>
              <w:tab/>
            </w:r>
            <w:r>
              <w:fldChar w:fldCharType="begin"/>
            </w:r>
            <w:r>
              <w:instrText xml:space="preserve">PAGEREF _Toc10 \h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highlight w:val="yellow"/>
            </w:rPr>
          </w:r>
          <w:r>
            <w:rPr>
              <w:highlight w:val="yellow"/>
            </w:rPr>
          </w:r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11" w:anchor="_Toc11" w:history="1">
            <w:r>
              <w:rPr>
                <w:rStyle w:val="922"/>
              </w:rPr>
              <w:t xml:space="preserve">2.2. Си</w:t>
            </w:r>
            <w:r>
              <w:rPr>
                <w:rStyle w:val="922"/>
              </w:rPr>
              <w:t xml:space="preserve">стема классификации</w:t>
            </w:r>
            <w:r>
              <w:tab/>
            </w:r>
            <w:r>
              <w:fldChar w:fldCharType="begin"/>
            </w:r>
            <w:r>
              <w:instrText xml:space="preserve">PAGEREF _Toc11 \h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24"/>
            <w:pBdr/>
            <w:tabs>
              <w:tab w:val="right" w:leader="dot" w:pos="9355"/>
            </w:tabs>
            <w:spacing/>
            <w:ind/>
            <w:rPr/>
          </w:pPr>
          <w:r/>
          <w:hyperlink w:tooltip="#_Toc12" w:anchor="_Toc12" w:history="1">
            <w:r>
              <w:rPr>
                <w:rStyle w:val="922"/>
              </w:rPr>
              <w:t xml:space="preserve">3. Планирование и приоритезация</w:t>
            </w:r>
            <w:r>
              <w:tab/>
            </w:r>
            <w:r>
              <w:fldChar w:fldCharType="begin"/>
            </w:r>
            <w:r>
              <w:instrText xml:space="preserve">PAGEREF _Toc12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13" w:anchor="_Toc13" w:history="1">
            <w:r>
              <w:rPr>
                <w:rStyle w:val="922"/>
              </w:rPr>
              <w:t xml:space="preserve">3.1. Планирование устранения технического долга</w:t>
            </w:r>
            <w:r>
              <w:tab/>
            </w:r>
            <w:r>
              <w:fldChar w:fldCharType="begin"/>
            </w:r>
            <w:r>
              <w:instrText xml:space="preserve">PAGEREF _Toc13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25"/>
            <w:pBdr/>
            <w:tabs>
              <w:tab w:val="right" w:leader="dot" w:pos="9355"/>
            </w:tabs>
            <w:spacing/>
            <w:ind/>
            <w:rPr/>
          </w:pPr>
          <w:r/>
          <w:hyperlink w:tooltip="#_Toc14" w:anchor="_Toc14" w:history="1">
            <w:r>
              <w:rPr>
                <w:rStyle w:val="922"/>
              </w:rPr>
              <w:t xml:space="preserve">3.2. Приоритезация</w:t>
            </w:r>
            <w:r>
              <w:tab/>
            </w:r>
            <w:r>
              <w:fldChar w:fldCharType="begin"/>
            </w:r>
            <w:r>
              <w:instrText xml:space="preserve">PAGEREF _Toc14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24"/>
            <w:pBdr/>
            <w:tabs>
              <w:tab w:val="right" w:leader="dot" w:pos="9355"/>
            </w:tabs>
            <w:spacing/>
            <w:ind/>
            <w:rPr/>
          </w:pPr>
          <w:r/>
          <w:hyperlink w:tooltip="#_Toc15" w:anchor="_Toc15" w:history="1">
            <w:r>
              <w:rPr>
                <w:rStyle w:val="922"/>
              </w:rPr>
              <w:t xml:space="preserve">4. Устранение технического долга и контроль за устранением</w:t>
            </w:r>
            <w:r>
              <w:tab/>
            </w:r>
            <w:r>
              <w:fldChar w:fldCharType="begin"/>
            </w:r>
            <w:r>
              <w:instrText xml:space="preserve">PAGEREF _Toc15 \h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 w:firstLine="210"/>
            <w:rPr>
              <w:color w:val="000000" w:themeColor="text1"/>
              <w:sz w:val="32"/>
              <w:szCs w:val="32"/>
            </w:rPr>
          </w:pPr>
          <w:r>
            <w:fldChar w:fldCharType="end"/>
          </w:r>
          <w:r>
            <w:rPr>
              <w:color w:val="000000" w:themeColor="text1"/>
              <w:sz w:val="32"/>
              <w:szCs w:val="32"/>
            </w:rPr>
          </w:r>
          <w:r>
            <w:rPr>
              <w:color w:val="000000" w:themeColor="text1"/>
              <w:sz w:val="32"/>
              <w:szCs w:val="32"/>
            </w:rPr>
          </w:r>
        </w:p>
      </w:sdtContent>
    </w:sdt>
    <w:p>
      <w:pPr>
        <w:pBdr/>
        <w:spacing/>
        <w:ind w:firstLine="21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Style w:val="732"/>
        <w:pBdr/>
        <w:spacing/>
        <w:ind w:firstLine="210"/>
        <w:rPr/>
      </w:pPr>
      <w:r/>
      <w:r/>
    </w:p>
    <w:p>
      <w:pPr>
        <w:pStyle w:val="732"/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32"/>
        <w:pBdr/>
        <w:spacing/>
        <w:ind/>
        <w:rPr>
          <w:color w:val="000000" w:themeColor="text1"/>
          <w:sz w:val="28"/>
          <w:szCs w:val="28"/>
        </w:rPr>
      </w:pPr>
      <w:r/>
      <w:bookmarkStart w:id="0" w:name="_Toc1"/>
      <w:r>
        <w:rPr>
          <w:color w:val="000000" w:themeColor="text1"/>
          <w:sz w:val="28"/>
          <w:szCs w:val="28"/>
        </w:rPr>
        <w:t xml:space="preserve">1. Введение</w:t>
      </w:r>
      <w:bookmarkEnd w:id="0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733"/>
        <w:pBdr/>
        <w:spacing/>
        <w:ind/>
        <w:rPr>
          <w:color w:val="000000" w:themeColor="text1"/>
          <w:sz w:val="24"/>
          <w:szCs w:val="24"/>
        </w:rPr>
      </w:pPr>
      <w:r/>
      <w:bookmarkStart w:id="1" w:name="_Toc2"/>
      <w:r>
        <w:rPr>
          <w:color w:val="000000" w:themeColor="text1"/>
          <w:sz w:val="24"/>
          <w:szCs w:val="24"/>
        </w:rPr>
        <w:t xml:space="preserve">1.1. Цель регламента и область применения</w:t>
      </w:r>
      <w:bookmarkEnd w:id="1"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firstLine="210"/>
        <w:jc w:val="both"/>
        <w:rPr/>
      </w:pPr>
      <w:r>
        <w:t xml:space="preserve">Цель настоящего регламента – обеспечить систематический, прозрачный и управляемый подход к процессу управления техническим долгом в компании ООО «ЦНФС», в том числе обеспечить контроль над объемом технического дол</w:t>
      </w:r>
      <w:r>
        <w:t xml:space="preserve">га и процессом его устранения, минимизируя риски, связанные с нарушением требований кибербезопасности, надежности и архитектуры к внедряемым решениям.</w:t>
      </w:r>
      <w:r/>
    </w:p>
    <w:p>
      <w:pPr>
        <w:pBdr/>
        <w:spacing/>
        <w:ind w:firstLine="210"/>
        <w:jc w:val="both"/>
        <w:rPr/>
      </w:pPr>
      <w:r>
        <w:t xml:space="preserve">Регламент устанавливает четкие процедуры, роли и ответственности, гарантируя выполнение запланированных р</w:t>
      </w:r>
      <w:r>
        <w:t xml:space="preserve">абот по устранению технического долга и предотвращая его чрезмерное накопление, обеспечивая при этом баланс между срочной функциональностью и долгосрочной стабильностью системы. Это способствует снижению рисков, связанных с несоответствием системы заданным</w:t>
      </w:r>
      <w:r>
        <w:t xml:space="preserve"> требованиям и повышению общей стабильности и надежности внедряемых решений.</w:t>
      </w:r>
      <w:r/>
    </w:p>
    <w:p>
      <w:pPr>
        <w:pBdr/>
        <w:spacing/>
        <w:ind w:firstLine="210"/>
        <w:jc w:val="both"/>
        <w:rPr/>
      </w:pPr>
      <w:r>
        <w:t xml:space="preserve">Данный регламент должен пересматриваться на актуальность не реже одного раза в год.</w:t>
      </w:r>
      <w:r/>
    </w:p>
    <w:p>
      <w:pPr>
        <w:pBdr/>
        <w:spacing/>
        <w:ind w:firstLine="210"/>
        <w:rPr/>
      </w:pPr>
      <w:r/>
      <w:r/>
    </w:p>
    <w:p>
      <w:pPr>
        <w:pStyle w:val="733"/>
        <w:pBdr/>
        <w:spacing/>
        <w:ind/>
        <w:rPr>
          <w:color w:val="000000" w:themeColor="text1"/>
          <w:sz w:val="24"/>
          <w:szCs w:val="24"/>
        </w:rPr>
      </w:pPr>
      <w:r/>
      <w:bookmarkStart w:id="2" w:name="_Toc3"/>
      <w:r>
        <w:rPr>
          <w:color w:val="000000" w:themeColor="text1"/>
          <w:sz w:val="24"/>
          <w:szCs w:val="24"/>
        </w:rPr>
        <w:t xml:space="preserve">1.2. Определение технического долга</w:t>
      </w:r>
      <w:bookmarkEnd w:id="2"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firstLine="21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Т</w:t>
      </w:r>
      <w:r>
        <w:rPr>
          <w:highlight w:val="none"/>
        </w:rPr>
        <w:t xml:space="preserve">ехнический долг (ТД) — это задокументированное отклонение внедряемого решения от установленных требований в области кибербезопасности, надежности, архитектуры, производительности, сопровождения или иных зафиксированных технических стандартов, увеличивающее</w:t>
      </w:r>
      <w:r>
        <w:rPr>
          <w:highlight w:val="none"/>
        </w:rPr>
        <w:t xml:space="preserve"> вероятность реализации рисков или затрат в будущем.</w:t>
      </w:r>
      <w:r>
        <w:rPr>
          <w:highlight w:val="none"/>
        </w:rPr>
      </w:r>
      <w:r/>
    </w:p>
    <w:p>
      <w:pPr>
        <w:pBdr/>
        <w:spacing/>
        <w:ind w:firstLine="210"/>
        <w:rPr/>
      </w:pPr>
      <w:r/>
      <w:r/>
    </w:p>
    <w:p>
      <w:pPr>
        <w:pStyle w:val="733"/>
        <w:pBdr/>
        <w:spacing/>
        <w:ind/>
        <w:rPr>
          <w:color w:val="000000" w:themeColor="text1"/>
          <w:sz w:val="24"/>
          <w:szCs w:val="24"/>
        </w:rPr>
      </w:pPr>
      <w:r/>
      <w:bookmarkStart w:id="3" w:name="_Toc4"/>
      <w:r>
        <w:rPr>
          <w:color w:val="000000" w:themeColor="text1"/>
          <w:sz w:val="24"/>
          <w:szCs w:val="24"/>
        </w:rPr>
        <w:t xml:space="preserve">1.3. Термины</w:t>
      </w:r>
      <w:bookmarkEnd w:id="3"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firstLine="210"/>
        <w:jc w:val="both"/>
        <w:rPr/>
      </w:pPr>
      <w:r>
        <w:t xml:space="preserve">КЗ (критическое замечание) – выявленное нарушение требований к </w:t>
      </w:r>
      <w:r>
        <w:t xml:space="preserve">внедряемому решению, имеющее потенциально критичные негативные последствия. Стейкхолдеры принимают меры по предотвращению этих последствий, вплоть до блокировки внедрения до полного устранения нарушений.</w:t>
      </w:r>
      <w:r/>
    </w:p>
    <w:p>
      <w:pPr>
        <w:pBdr/>
        <w:spacing/>
        <w:ind w:firstLine="210"/>
        <w:jc w:val="both"/>
        <w:rPr/>
      </w:pPr>
      <w:r>
        <w:t xml:space="preserve">УКЗ (условно-критическое замечание) – нарушение треб</w:t>
      </w:r>
      <w:r>
        <w:t xml:space="preserve">ований к внедряемому решению, не препятствующее внедрению этого решения и не вызывающее недопустимых последствий. </w:t>
      </w:r>
      <w:r/>
    </w:p>
    <w:p>
      <w:pPr>
        <w:pBdr/>
        <w:spacing/>
        <w:ind w:firstLine="210"/>
        <w:jc w:val="both"/>
        <w:rPr/>
      </w:pPr>
      <w:r>
        <w:t xml:space="preserve">ПСИ (приемо-сдаточные испытания) – процесс проверки и валидации соответствия программного обеспечения заданным требованиям перед его внедрени</w:t>
      </w:r>
      <w:r>
        <w:t xml:space="preserve">ем в ПРОМ.</w:t>
      </w:r>
      <w:r/>
    </w:p>
    <w:p>
      <w:pPr>
        <w:pBdr/>
        <w:spacing/>
        <w:ind w:firstLine="210"/>
        <w:jc w:val="both"/>
        <w:rPr/>
      </w:pPr>
      <w:r>
        <w:t xml:space="preserve">ПРОМ – рабочая среда, в которой функционирует программное обеспечение после его внедрения и используется конечными пользователями.</w:t>
      </w:r>
      <w:r/>
    </w:p>
    <w:p>
      <w:pPr>
        <w:pBdr/>
        <w:spacing/>
        <w:ind w:firstLine="210"/>
        <w:jc w:val="both"/>
        <w:rPr/>
      </w:pPr>
      <w:r>
        <w:t xml:space="preserve">Стейкхолдер – участник процесса, чьи требования должны быть учтены в процессе разработки и внедрения программного </w:t>
      </w:r>
      <w:r>
        <w:t xml:space="preserve">обеспечения. К стейкхолдерам относятся сотрудники подразделений архитектуры, кибербезопасности, сопровождения. </w:t>
      </w:r>
      <w:r/>
    </w:p>
    <w:p>
      <w:pPr>
        <w:pBdr/>
        <w:spacing/>
        <w:ind w:firstLine="210"/>
        <w:jc w:val="both"/>
        <w:rPr/>
      </w:pPr>
      <w:r/>
      <w:r/>
    </w:p>
    <w:p>
      <w:pPr>
        <w:pStyle w:val="733"/>
        <w:pBdr/>
        <w:spacing/>
        <w:ind/>
        <w:rPr>
          <w:color w:val="000000" w:themeColor="text1"/>
          <w:sz w:val="24"/>
          <w:szCs w:val="24"/>
        </w:rPr>
      </w:pPr>
      <w:r/>
      <w:bookmarkStart w:id="4" w:name="_Toc5"/>
      <w:r>
        <w:rPr>
          <w:color w:val="000000" w:themeColor="text1"/>
          <w:sz w:val="24"/>
          <w:szCs w:val="24"/>
        </w:rPr>
        <w:t xml:space="preserve">1.4. Принципы управления техническим долгом </w:t>
      </w:r>
      <w:bookmarkEnd w:id="4"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firstLine="210"/>
        <w:jc w:val="both"/>
        <w:rPr/>
      </w:pPr>
      <w:r>
        <w:t xml:space="preserve">Управление ТД в компании основывается на следующих принципах:</w:t>
      </w:r>
      <w:r/>
    </w:p>
    <w:p>
      <w:pPr>
        <w:pStyle w:val="936"/>
        <w:numPr>
          <w:ilvl w:val="0"/>
          <w:numId w:val="1"/>
        </w:numPr>
        <w:pBdr/>
        <w:spacing/>
        <w:ind/>
        <w:jc w:val="both"/>
        <w:rPr/>
      </w:pPr>
      <w:r>
        <w:t xml:space="preserve">прозрачность – все факты возникновен</w:t>
      </w:r>
      <w:r>
        <w:t xml:space="preserve">ия ТД должны быть задокументированы и доступны всем заинтересованным лицам;</w:t>
      </w:r>
      <w:r/>
    </w:p>
    <w:p>
      <w:pPr>
        <w:pStyle w:val="936"/>
        <w:numPr>
          <w:ilvl w:val="0"/>
          <w:numId w:val="1"/>
        </w:numPr>
        <w:pBdr/>
        <w:spacing/>
        <w:ind/>
        <w:jc w:val="both"/>
        <w:rPr/>
      </w:pPr>
      <w:r>
        <w:t xml:space="preserve">приоритизация – устранение ТД должно осуществляться в соответствии с его приоритетом и потенциальным влиянием на работу подразделений и компании в целом;</w:t>
      </w:r>
      <w:r/>
    </w:p>
    <w:p>
      <w:pPr>
        <w:pStyle w:val="936"/>
        <w:numPr>
          <w:ilvl w:val="0"/>
          <w:numId w:val="1"/>
        </w:numPr>
        <w:pBdr/>
        <w:spacing/>
        <w:ind/>
        <w:jc w:val="both"/>
        <w:rPr/>
      </w:pPr>
      <w:r>
        <w:t xml:space="preserve">планирование – устранение </w:t>
      </w:r>
      <w:r>
        <w:t xml:space="preserve">ТД должно быть запланировано и интегрировано в процесс разработки программного обеспечения и внедрения новых решений;</w:t>
      </w:r>
      <w:r/>
    </w:p>
    <w:p>
      <w:pPr>
        <w:pStyle w:val="936"/>
        <w:numPr>
          <w:ilvl w:val="0"/>
          <w:numId w:val="1"/>
        </w:numPr>
        <w:pBdr/>
        <w:spacing/>
        <w:ind/>
        <w:jc w:val="both"/>
        <w:rPr/>
      </w:pPr>
      <w:r>
        <w:t xml:space="preserve">ответственность – ответственность за процесс устранения ТД распределяется четко и прозрачно между участниками, что гарантирует эффективное его выявление, приоритизацию и устранение, предотвращая возможные риски;</w:t>
      </w:r>
      <w:r/>
    </w:p>
    <w:p>
      <w:pPr>
        <w:pStyle w:val="936"/>
        <w:numPr>
          <w:ilvl w:val="0"/>
          <w:numId w:val="1"/>
        </w:numPr>
        <w:pBdr/>
        <w:spacing/>
        <w:ind/>
        <w:jc w:val="both"/>
        <w:rPr/>
      </w:pPr>
      <w:r>
        <w:t xml:space="preserve">мониторинг – регулярный мониторинг метрик ТД</w:t>
      </w:r>
      <w:r>
        <w:t xml:space="preserve"> позволяет своевременно выявлять и устранять проблемные места.</w:t>
      </w:r>
      <w:r/>
    </w:p>
    <w:p>
      <w:pPr>
        <w:pBdr/>
        <w:spacing/>
        <w:ind/>
        <w:rPr/>
        <w:sectPr>
          <w:footnotePr/>
          <w:endnotePr/>
          <w:type w:val="nextPage"/>
          <w:pgSz w:h="16838" w:orient="portrait" w:w="11906"/>
          <w:pgMar w:top="720" w:right="720" w:bottom="720" w:left="720" w:header="709" w:footer="709" w:gutter="0"/>
          <w:cols w:num="1" w:sep="0" w:space="708" w:equalWidth="1"/>
        </w:sectPr>
      </w:pPr>
      <w:r/>
      <w:r/>
    </w:p>
    <w:p>
      <w:pPr>
        <w:pStyle w:val="733"/>
        <w:pBdr/>
        <w:spacing/>
        <w:ind/>
        <w:rPr>
          <w:color w:val="000000" w:themeColor="text1"/>
          <w:sz w:val="28"/>
          <w:szCs w:val="28"/>
        </w:rPr>
      </w:pPr>
      <w:r/>
      <w:bookmarkStart w:id="5" w:name="_Toc6"/>
      <w:r>
        <w:rPr>
          <w:color w:val="000000" w:themeColor="text1"/>
          <w:sz w:val="28"/>
          <w:szCs w:val="28"/>
        </w:rPr>
        <w:t xml:space="preserve">1.5. Схема процесса работы с ТД</w:t>
      </w:r>
      <w:bookmarkEnd w:id="5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left="-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369240" cy="466272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543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369239" cy="4662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16.48pt;height:367.1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733"/>
        <w:pBdr/>
        <w:spacing/>
        <w:ind/>
        <w:rPr>
          <w:color w:val="000000" w:themeColor="text1"/>
          <w:sz w:val="28"/>
          <w:szCs w:val="28"/>
        </w:rPr>
      </w:pPr>
      <w:r/>
      <w:bookmarkStart w:id="6" w:name="_Toc7"/>
      <w:r>
        <w:rPr>
          <w:color w:val="000000" w:themeColor="text1"/>
          <w:sz w:val="28"/>
          <w:szCs w:val="28"/>
        </w:rPr>
        <w:t xml:space="preserve">1.6. Описание шагов в рамках процесса</w:t>
      </w:r>
      <w:bookmarkEnd w:id="6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4203"/>
        <w:gridCol w:w="1615"/>
        <w:gridCol w:w="1310"/>
        <w:gridCol w:w="1464"/>
        <w:gridCol w:w="1269"/>
        <w:gridCol w:w="1764"/>
        <w:gridCol w:w="2024"/>
      </w:tblGrid>
      <w:tr>
        <w:trPr>
          <w:trHeight w:val="298"/>
        </w:trPr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auto"/>
                <w:sz w:val="20"/>
                <w:szCs w:val="20"/>
              </w:rPr>
              <w:t xml:space="preserve">Наименование операции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auto"/>
                <w:sz w:val="20"/>
                <w:szCs w:val="20"/>
              </w:rPr>
              <w:t xml:space="preserve">Описание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auto"/>
                <w:sz w:val="20"/>
                <w:szCs w:val="20"/>
              </w:rPr>
              <w:t xml:space="preserve">Исполнитель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 xml:space="preserve">Участники</w:t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 xml:space="preserve">Артефакты</w:t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auto"/>
                <w:sz w:val="20"/>
                <w:szCs w:val="20"/>
              </w:rPr>
              <w:t xml:space="preserve">ИТ система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auto"/>
                <w:sz w:val="20"/>
                <w:szCs w:val="20"/>
              </w:rPr>
              <w:t xml:space="preserve">Переход к операции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</w:r>
          </w:p>
        </w:tc>
        <w:tc>
          <w:tcPr>
            <w:shd w:val="pct10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SLA</w:t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Создание «Bug»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u w:val="single"/>
              </w:rPr>
              <w:t xml:space="preserve">Начальное событие: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При проведении ПСИ возникает ТД.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Стейкхолдер по выявленному ТД должен создать «Bug»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в пространстве продукта, к которому относится ТД.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протокол ПСИ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2, если КЗ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3, если УКЗ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Регистрация в Jira должна быть выполнена в течение одного рабочего дня с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момента его выявления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Запрет внесения изменений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  <w:highlight w:val="yellow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yellow"/>
              </w:rPr>
              <w:t xml:space="preserve">Если ТД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yellow"/>
              </w:rPr>
              <w:t xml:space="preserve">является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yellow"/>
              </w:rPr>
              <w:t xml:space="preserve">критическим - стейкхолдер может принять решение о блокировке релиза до устранения ТД. Формат и сроки блокировки определяются стейкхолдером с учетом контекста.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yellow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  <w:highlight w:val="yellow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Создание «Bug»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Руководитель подразделения, ответственного за исправления ТД, должен создать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в пространстве продукта, к которому относится ТД, «Bug» и назначить его на исполнителя из своего подразделения, а также связать её с «Bug» КЗ/УКЗ.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подразделения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4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Планирование исправления ТД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Руководитель подразделения должен запланировать устранение ТД.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перечень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к исправлению в текущем периоде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5 и 7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Должно быть выполнено в течение одного квартала с момента регистрации заявки на ТД в системе Jira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Контроль сроков и результатов исправления ТД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Стейкхолдер производит своевременный контроль сроков и результатов исправления ТД.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Исполнитель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«протокол встречи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6, если срок устранения не выполняется и стейкхолдер принимает решение повысить приоритет УКЗ до КЗ;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4, если срок устранения не выполняется и классификация ТД не меняется;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9, если ТД исправлено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hd w:val="clear" w:color="ffffff" w:themeColor="background1" w:fill="ffffff" w:themeFill="background1"/>
              <w:spacing/>
              <w:ind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С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рок устранения УКЗ определяется индивидуально по согласованию между стейкхолдерами и исполнителями, с учетом приоритета и критичности УКЗ. Рекомендуемый срок устранения — не более одного квартала, однако окончательное решение принимается на основе обоснова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ния и согласования сторон.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Повышение критичности ТД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Если срок для устранения УКЗ прошёл, а ТД не исправлен, стейкхолдер принимает решение о повышении приоритета ТД до КЗ.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2, если необходимо заблокировать релиз;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4, если релиз блокировать ее нужно.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 обязан принять решение о дальнейших действиях в течение 3-ех рабочих дней с момента истечения установленного срока.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Устранение ТД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Сотрудник, ответственный за устранение ТД, устраняет выявленный ТД.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Исполнитель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Исполнитель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8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Должно быть выполнено в течение одного квартала с момента регистрации заявки на ТД в системе Jira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Контроль исправления ТД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Руководитель подразделения, ответственного за исправление ТД, должен проконтролировать результаты работы сотрудника.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Исполнитель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9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ПСИ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По результатам исправления ТД организуется и проводится ПСИ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, на которых стейкхолдер проверяет реализацию замечания в соответствии с заявленными требованиями.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Исполнитель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протокол ПСИ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5 и 7, если в результате ПСИ были выявлены отклонения;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10, если результаты ПСИ согласованы стейкхолдером.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ПСИ должно быть проведено за неделю до истечения срока устранения ТД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При неуспешном ПСИ стейкхолдер обязан предоставить комментарий к требованиям и ус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тановить новый срок в течение 3-ех рабочих дней после ПСИ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Подписание протокол ПСИ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 случае соответствия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DoD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стейкхолдер подписывает протокол ПСИ.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протокол ПСИ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протокол ПСИ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11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Закрытие «Bug» в Jira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«Bug»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необходимо перевести в статус Закрыт.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Стейкхолдер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протокол ПСИ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12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При успешном ПСИ стейкхолдер обязан закрыть заявку в Jira в течение одного рабочего дня после подтверждения успешного прохождения ПСИ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98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35" w:type="dxa"/>
            <w:vMerge w:val="restart"/>
            <w:textDirection w:val="lrTb"/>
            <w:noWrap w:val="false"/>
          </w:tcPr>
          <w:p>
            <w:pPr>
              <w:pStyle w:val="944"/>
              <w:numPr>
                <w:ilvl w:val="0"/>
                <w:numId w:val="11"/>
              </w:numPr>
              <w:pBdr/>
              <w:tabs>
                <w:tab w:val="left" w:leader="none" w:pos="313"/>
              </w:tabs>
              <w:spacing w:after="45" w:before="45"/>
              <w:ind w:firstLine="0" w:left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Закрытие «Bug» в Jira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7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«Bug»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необходимо перевести в статус Закрыт.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7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1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Руководитель подразделения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6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Входной артефакт протокол ПСИ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Выходной артефакт «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Bug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» в 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Jira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66" w:type="dxa"/>
            <w:vMerge w:val="restart"/>
            <w:textDirection w:val="lrTb"/>
            <w:noWrap w:val="false"/>
          </w:tcPr>
          <w:p>
            <w:pPr>
              <w:pStyle w:val="944"/>
              <w:pBdr/>
              <w:spacing w:after="45" w:before="45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26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color w:val="000000" w:themeColor="text1"/>
          <w:sz w:val="28"/>
          <w:szCs w:val="28"/>
        </w:rPr>
        <w:sectPr>
          <w:footnotePr/>
          <w:endnotePr/>
          <w:type w:val="nextPage"/>
          <w:pgSz w:h="11906" w:orient="landscape" w:w="16838"/>
          <w:pgMar w:top="720" w:right="720" w:bottom="720" w:left="720" w:header="709" w:footer="709" w:gutter="0"/>
          <w:cols w:num="1" w:sep="0" w:space="708" w:equalWidth="1"/>
        </w:sect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733"/>
        <w:pBdr/>
        <w:spacing/>
        <w:ind/>
        <w:rPr>
          <w:color w:val="000000" w:themeColor="text1"/>
          <w:sz w:val="28"/>
          <w:szCs w:val="28"/>
        </w:rPr>
      </w:pPr>
      <w:r/>
      <w:bookmarkStart w:id="9" w:name="_Toc8"/>
      <w:r>
        <w:rPr>
          <w:color w:val="000000" w:themeColor="text1"/>
          <w:sz w:val="28"/>
          <w:szCs w:val="28"/>
        </w:rPr>
        <w:t xml:space="preserve">1.7. Ответственные лица и их роли</w:t>
      </w:r>
      <w:bookmarkEnd w:id="9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tbl>
      <w:tblPr>
        <w:tblStyle w:val="76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815"/>
        <w:gridCol w:w="6661"/>
      </w:tblGrid>
      <w:tr>
        <w:trPr/>
        <w:tc>
          <w:tcPr>
            <w:tcBorders/>
            <w:tcW w:w="381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Роль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Зона ответственности и выполняемые работы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81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Стейкхолдер (Архитектура, Кибербезопасность, Сопровождение)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6661" w:type="dxa"/>
            <w:textDirection w:val="lrTb"/>
            <w:noWrap w:val="false"/>
          </w:tcPr>
          <w:p>
            <w:pPr>
              <w:pBdr/>
              <w:spacing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Права: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5"/>
              </w:num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Повышение приоритета ТД с УКЗ на КЗ;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5"/>
              </w:num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Контроль исправления ТД;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Участие в планировании и обсуждении сроков исправлений и приоритетов ТД;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Зоны ответственности: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12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ТД как «Bug» в </w:t>
            </w:r>
            <w:r>
              <w:rPr>
                <w:sz w:val="20"/>
                <w:szCs w:val="20"/>
                <w:lang w:val="en-US"/>
              </w:rPr>
              <w:t xml:space="preserve">Jira</w:t>
            </w:r>
            <w:r>
              <w:rPr>
                <w:sz w:val="20"/>
                <w:szCs w:val="20"/>
              </w:rPr>
              <w:t xml:space="preserve"> в пространстве продукта, к которому относится ТД, с заполнением всех необходимых полей (см. Раздел 2.1);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12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Запрет внесения изменений;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Определение ответственного за исправление ТД;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Контроль исправления ТД;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15"/>
              </w:num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Аргументация повышения приоритета ТД;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Подписание п</w:t>
            </w:r>
            <w:r>
              <w:rPr>
                <w:sz w:val="20"/>
                <w:szCs w:val="20"/>
              </w:rPr>
              <w:t xml:space="preserve">ротокола ПСИ;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Закрытие ТД в </w:t>
            </w:r>
            <w:r>
              <w:rPr>
                <w:sz w:val="20"/>
                <w:szCs w:val="20"/>
                <w:lang w:val="en-US"/>
              </w:rPr>
              <w:t xml:space="preserve">Jira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3"/>
        </w:trPr>
        <w:tc>
          <w:tcPr>
            <w:tcBorders/>
            <w:tcW w:w="3815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Руководитель подразделения, ответственного за исправление ТД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6661" w:type="dxa"/>
            <w:vMerge w:val="restart"/>
            <w:textDirection w:val="lrTb"/>
            <w:noWrap w:val="false"/>
          </w:tcPr>
          <w:p>
            <w:pPr>
              <w:pBdr/>
              <w:spacing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Права: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8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Участие в обсуждении сроков исправлений и приоритетов ТД.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Зоны ответственности: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Планирование исправления ТД;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ТД как «Bug» в </w:t>
            </w:r>
            <w:r>
              <w:rPr>
                <w:sz w:val="20"/>
                <w:szCs w:val="20"/>
                <w:lang w:val="en-US"/>
              </w:rPr>
              <w:t xml:space="preserve">Jira</w:t>
            </w:r>
            <w:r>
              <w:rPr>
                <w:sz w:val="20"/>
                <w:szCs w:val="20"/>
              </w:rPr>
              <w:t xml:space="preserve"> в пространстве продукта, к которому относится ТД, и связь с ТД, созданным стейкхолдером;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Контроль исправления ТД;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и проведение ПСИ;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Составление протокола ПСИ;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Закрытие ТД в </w:t>
            </w:r>
            <w:r>
              <w:rPr>
                <w:sz w:val="20"/>
                <w:szCs w:val="20"/>
                <w:lang w:val="en-US"/>
              </w:rPr>
              <w:t xml:space="preserve">Jira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3"/>
        </w:trPr>
        <w:tc>
          <w:tcPr>
            <w:tcBorders/>
            <w:tcW w:w="3815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Исполнитель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6661" w:type="dxa"/>
            <w:vMerge w:val="restart"/>
            <w:textDirection w:val="lrTb"/>
            <w:noWrap w:val="false"/>
          </w:tcPr>
          <w:p>
            <w:pPr>
              <w:pBdr/>
              <w:spacing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Права: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Участие в планировании и обсуждении сроков исправлений и приоритетов ТД.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Зоны ответственности: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6"/>
              <w:numPr>
                <w:ilvl w:val="0"/>
                <w:numId w:val="2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исправления ТД.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Style w:val="732"/>
        <w:pBdr/>
        <w:spacing/>
        <w:ind/>
        <w:rPr>
          <w:rStyle w:val="887"/>
          <w:color w:val="auto"/>
          <w:sz w:val="28"/>
          <w:szCs w:val="28"/>
        </w:rPr>
      </w:pPr>
      <w:r/>
      <w:bookmarkStart w:id="10" w:name="_Toc9"/>
      <w:r>
        <w:rPr>
          <w:color w:val="auto"/>
          <w:sz w:val="28"/>
          <w:szCs w:val="28"/>
        </w:rPr>
        <w:t xml:space="preserve">2. И</w:t>
      </w:r>
      <w:r>
        <w:rPr>
          <w:rStyle w:val="887"/>
          <w:color w:val="auto"/>
          <w:sz w:val="28"/>
          <w:szCs w:val="28"/>
        </w:rPr>
        <w:t xml:space="preserve">дентификация и оценка технического долга</w:t>
      </w:r>
      <w:bookmarkEnd w:id="10"/>
      <w:r>
        <w:rPr>
          <w:rStyle w:val="887"/>
          <w:color w:val="auto"/>
          <w:sz w:val="28"/>
          <w:szCs w:val="28"/>
        </w:rPr>
      </w:r>
      <w:r>
        <w:rPr>
          <w:rStyle w:val="887"/>
          <w:color w:val="auto"/>
          <w:sz w:val="28"/>
          <w:szCs w:val="28"/>
        </w:rPr>
      </w:r>
    </w:p>
    <w:p>
      <w:pPr>
        <w:pStyle w:val="733"/>
        <w:pBdr/>
        <w:spacing/>
        <w:ind/>
        <w:rPr>
          <w:color w:val="000000" w:themeColor="text1"/>
          <w:sz w:val="24"/>
          <w:szCs w:val="24"/>
          <w:highlight w:val="yellow"/>
        </w:rPr>
      </w:pPr>
      <w:r/>
      <w:bookmarkStart w:id="11" w:name="_Toc10"/>
      <w:r>
        <w:rPr>
          <w:color w:val="000000" w:themeColor="text1"/>
          <w:sz w:val="24"/>
          <w:szCs w:val="24"/>
        </w:rPr>
        <w:t xml:space="preserve">2.1. Инициация технического долга</w:t>
      </w:r>
      <w:bookmarkEnd w:id="11"/>
      <w:r>
        <w:rPr>
          <w:color w:val="000000" w:themeColor="text1"/>
          <w:sz w:val="24"/>
          <w:szCs w:val="24"/>
          <w:highlight w:val="yellow"/>
        </w:rPr>
      </w:r>
      <w:r>
        <w:rPr>
          <w:color w:val="000000" w:themeColor="text1"/>
          <w:sz w:val="24"/>
          <w:szCs w:val="24"/>
          <w:highlight w:val="yellow"/>
        </w:rPr>
      </w:r>
    </w:p>
    <w:p>
      <w:pPr>
        <w:pBdr/>
        <w:spacing/>
        <w:ind w:firstLine="210"/>
        <w:jc w:val="both"/>
        <w:rPr/>
      </w:pPr>
      <w:r>
        <w:t xml:space="preserve">ТД возникает во время проведения ПСИ при нарушении требований стейкхолдеров. При обнаружении несоответствия требованиям стейкхолдер регистрирует «Bug» в Jira в пространстве продукта, к которому относится ТД. Заявка должна содержать следующую информацию:</w:t>
      </w:r>
      <w:r/>
    </w:p>
    <w:tbl>
      <w:tblPr>
        <w:tblStyle w:val="76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390"/>
        <w:gridCol w:w="7087"/>
      </w:tblGrid>
      <w:tr>
        <w:trPr/>
        <w:tc>
          <w:tcPr>
            <w:shd w:val="clear" w:color="808080" w:themeColor="background1" w:themeShade="80" w:fill="808080" w:themeFill="background1" w:themeFillShade="80"/>
            <w:tcBorders/>
            <w:tcW w:w="33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По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ле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Описание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3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Ответственный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Руководитель подразделения, назначенный ответственным за устранение ТД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3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ТД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Классификация согласно принятой в данном регламенте системы классификации (см. раздел 2.2)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3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устранения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для устранения выявленного нарушения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/>
            <w:tcW w:w="339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Нарушенное требование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требования, которое не было соблюдено для внедряемого решения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/>
            <w:tcW w:w="339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Влияние на систему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потенциального негативного воздействия на функциональность, производительность или надежность системы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/>
            <w:tcW w:w="339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Меры устранения влияния ТД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Дей</w:t>
            </w:r>
            <w:r>
              <w:rPr>
                <w:sz w:val="20"/>
                <w:szCs w:val="20"/>
              </w:rPr>
              <w:t xml:space="preserve">ствия, которые необходимо предпринять для устранения ТД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/>
            <w:tcW w:w="339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Ссылка на внедряемое решение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Привязка задачи в </w:t>
            </w:r>
            <w:r>
              <w:rPr>
                <w:sz w:val="20"/>
                <w:szCs w:val="20"/>
                <w:lang w:val="en-US"/>
              </w:rPr>
              <w:t xml:space="preserve">Jira</w:t>
            </w:r>
            <w:r>
              <w:rPr>
                <w:sz w:val="20"/>
                <w:szCs w:val="20"/>
              </w:rPr>
              <w:t xml:space="preserve"> к выявленному ТД, в рамках которой было выявлено нарушение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733"/>
        <w:pBdr/>
        <w:spacing/>
        <w:ind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  <w:r>
        <w:rPr>
          <w:color w:val="auto"/>
          <w:sz w:val="22"/>
          <w:szCs w:val="22"/>
        </w:rPr>
      </w:r>
      <w:r>
        <w:rPr>
          <w:color w:val="auto"/>
          <w:sz w:val="22"/>
          <w:szCs w:val="22"/>
        </w:rPr>
      </w:r>
    </w:p>
    <w:p>
      <w:pPr>
        <w:pStyle w:val="733"/>
        <w:pBdr/>
        <w:spacing/>
        <w:ind/>
        <w:rPr>
          <w:color w:val="000000" w:themeColor="text1"/>
          <w:sz w:val="28"/>
          <w:szCs w:val="28"/>
        </w:rPr>
      </w:pPr>
      <w:r/>
      <w:bookmarkStart w:id="12" w:name="_Toc11"/>
      <w:r>
        <w:rPr>
          <w:color w:val="000000" w:themeColor="text1"/>
          <w:sz w:val="28"/>
          <w:szCs w:val="28"/>
        </w:rPr>
        <w:t xml:space="preserve">2.2. Система классификации</w:t>
      </w:r>
      <w:bookmarkEnd w:id="12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firstLine="210"/>
        <w:jc w:val="both"/>
        <w:rPr/>
      </w:pPr>
      <w:r>
        <w:t xml:space="preserve">Ответственность за классификацию ТД, определения сроков уст</w:t>
      </w:r>
      <w:r>
        <w:t xml:space="preserve">ранения и принятие решения о блокировке/разрешения внедрения решения лежит на стейкхолдере, который выявил ТД при проведении ПСИ. ТД классифицируется на два типа:</w:t>
      </w:r>
      <w:r/>
    </w:p>
    <w:p>
      <w:pPr>
        <w:pStyle w:val="936"/>
        <w:numPr>
          <w:ilvl w:val="0"/>
          <w:numId w:val="9"/>
        </w:numPr>
        <w:pBdr/>
        <w:spacing/>
        <w:ind/>
        <w:jc w:val="both"/>
        <w:rPr/>
      </w:pPr>
      <w:r>
        <w:t xml:space="preserve">УКЗ (условно-критическое замечание) - нарушение требований, не препятствующее установке решен</w:t>
      </w:r>
      <w:r>
        <w:t xml:space="preserve">ия в ПРОД и не вызывающее недопустимых последствий.</w:t>
      </w:r>
      <w:r/>
    </w:p>
    <w:p>
      <w:pPr>
        <w:pStyle w:val="936"/>
        <w:numPr>
          <w:ilvl w:val="0"/>
          <w:numId w:val="9"/>
        </w:numPr>
        <w:pBdr/>
        <w:spacing/>
        <w:ind/>
        <w:jc w:val="both"/>
        <w:rPr/>
      </w:pPr>
      <w:r>
        <w:t xml:space="preserve">КЗ (критическое замечание) - нарушение требований, при которых установка решения в ПРОМ может привести к недопустимым негативным последствиям, в связи с чем может быть блокировано к внедрению стейкхолдеро</w:t>
      </w:r>
      <w:r>
        <w:t xml:space="preserve">м.</w:t>
      </w:r>
      <w:r/>
    </w:p>
    <w:p>
      <w:pPr>
        <w:pBdr/>
        <w:spacing/>
        <w:ind w:firstLine="210"/>
        <w:jc w:val="both"/>
        <w:rPr/>
      </w:pPr>
      <w:r>
        <w:t xml:space="preserve">Классификация ТД производится стейкхолдером, принимающим участие в проведении ПСИ, на основе его экспертного опыта и/или чек-листов проверки релиза, разработанных на базе утвержденных требований.</w:t>
      </w:r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Bdr/>
        <w:spacing/>
        <w:ind w:firstLine="210"/>
        <w:rPr/>
      </w:pPr>
      <w:r/>
      <w:r/>
    </w:p>
    <w:p>
      <w:pPr>
        <w:pStyle w:val="732"/>
        <w:pBdr/>
        <w:spacing/>
        <w:ind/>
        <w:rPr>
          <w:color w:val="000000" w:themeColor="text1"/>
          <w:sz w:val="28"/>
          <w:szCs w:val="28"/>
        </w:rPr>
      </w:pPr>
      <w:r/>
      <w:bookmarkStart w:id="13" w:name="_Toc12"/>
      <w:r>
        <w:rPr>
          <w:color w:val="000000" w:themeColor="text1"/>
          <w:sz w:val="28"/>
          <w:szCs w:val="28"/>
        </w:rPr>
        <w:t xml:space="preserve">3. Планирование и приоритезация</w:t>
      </w:r>
      <w:bookmarkEnd w:id="13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733"/>
        <w:pBdr/>
        <w:spacing/>
        <w:ind/>
        <w:rPr>
          <w:color w:val="000000" w:themeColor="text1"/>
          <w:sz w:val="24"/>
          <w:szCs w:val="24"/>
        </w:rPr>
      </w:pPr>
      <w:r/>
      <w:bookmarkStart w:id="14" w:name="_Toc13"/>
      <w:r>
        <w:rPr>
          <w:color w:val="000000" w:themeColor="text1"/>
          <w:sz w:val="24"/>
          <w:szCs w:val="24"/>
        </w:rPr>
        <w:t xml:space="preserve">3.1. Планирование устранения технического долга</w:t>
      </w:r>
      <w:bookmarkEnd w:id="14"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firstLine="210"/>
        <w:jc w:val="both"/>
        <w:rPr>
          <w14:ligatures w14:val="none"/>
        </w:rPr>
      </w:pPr>
      <w:r>
        <w:t xml:space="preserve">После регистрации ТД в Jira в пространстве продукта, к которому относится ТД, руководитель подразделения, назначенный ответственным за устранение ТД, создает в пространстве информационной системы, для которой</w:t>
      </w:r>
      <w:r>
        <w:t xml:space="preserve"> было нарушено требование, новую заявку на проведение работ. Эта заявка должна быть связана при помощи инструментов </w:t>
      </w:r>
      <w:r>
        <w:rPr>
          <w:lang w:val="en-US"/>
        </w:rPr>
        <w:t xml:space="preserve">Jira</w:t>
      </w:r>
      <w:r>
        <w:t xml:space="preserve"> (добавить связь «</w:t>
      </w:r>
      <w:r>
        <w:rPr>
          <w:lang w:val="en-US"/>
        </w:rPr>
        <w:t xml:space="preserve">Relates</w:t>
      </w:r>
      <w:r>
        <w:t xml:space="preserve"> </w:t>
      </w:r>
      <w:r>
        <w:rPr>
          <w:lang w:val="en-US"/>
        </w:rPr>
        <w:t xml:space="preserve">to</w:t>
      </w:r>
      <w:r>
        <w:t xml:space="preserve">»)</w:t>
      </w:r>
      <w:r>
        <w:t xml:space="preserve"> с заявкой, в которой был зарегистрирован ТД. Заявка на проведение работ должна содержать описание необходимых работ по устранению выявленных нарушений требований, указание предполагаемых затрат времени и ресурсов и </w:t>
      </w:r>
      <w:r>
        <w:rPr>
          <w:highlight w:val="yellow"/>
        </w:rPr>
        <w:t xml:space="preserve">критерии завершения работ, подтверждающие устранение ТД</w:t>
      </w:r>
      <w:r>
        <w:rPr>
          <w:highlight w:val="yellow"/>
        </w:rPr>
        <w:t xml:space="preserve">. </w:t>
      </w:r>
      <w:r>
        <w:rPr>
          <w:highlight w:val="yellow"/>
        </w:rPr>
        <w:t xml:space="preserve">Критерии завершения определяются исполнителем и руководителем подразделения и согласовываются со стейкхолдерами. Требования стейкхолдеров должны быть зафиксированы в заявке.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210"/>
        <w:jc w:val="both"/>
        <w:rPr>
          <w:rFonts w:ascii="Times New Roman" w:hAnsi="Times New Roman"/>
          <w:highlight w:val="none"/>
        </w:rPr>
      </w:pPr>
      <w:r>
        <w:t xml:space="preserve">Далее ответственный за устранение ТД рук</w:t>
      </w:r>
      <w:r>
        <w:t xml:space="preserve">оводитель подразделения назначает исполнителя из своего подразделения для выполнения работ по устранению ТД. Для данного исполнителя руководитель подразделения устанавливает критерии завершения задачи, подтверждающие полное устранение ТД и соответствие тре</w:t>
      </w:r>
      <w:r>
        <w:t xml:space="preserve">бованиям стейкхолдеров. Эти требования должны быть согласованы со стейкхолдерами и зафиксированы в заявке на проведение работ.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none"/>
        </w:rPr>
      </w:r>
    </w:p>
    <w:p>
      <w:pPr>
        <w:pBdr/>
        <w:spacing/>
        <w:ind w:firstLine="210"/>
        <w:jc w:val="both"/>
        <w:rPr>
          <w14:ligatures w14:val="none"/>
        </w:rPr>
      </w:pPr>
      <w:r>
        <w:t xml:space="preserve">П</w:t>
      </w:r>
      <w:r>
        <w:t xml:space="preserve">осле регистрации технического долга (ТД) в Jira в пространстве продукта, к которому относится ТД, руководитель подразделения, назначенный ответственным за устранение, создает в пространстве информационной системы, где было зафиксировано нарушение, новую за</w:t>
      </w:r>
      <w:r>
        <w:t xml:space="preserve">явку на проведение работ. Эта заявка должна быть связана при помощи инструментов Jira (добавить связь «Relates to») с исходной заявкой, в которой зарегистрирован ТД.</w:t>
      </w:r>
      <w:r>
        <w:rPr>
          <w14:ligatures w14:val="none"/>
        </w:rPr>
      </w:r>
    </w:p>
    <w:p>
      <w:pPr>
        <w:pBdr/>
        <w:spacing/>
        <w:ind w:firstLine="210"/>
        <w:jc w:val="both"/>
        <w:rPr>
          <w:highlight w:val="yellow"/>
          <w14:ligatures w14:val="none"/>
        </w:rPr>
      </w:pPr>
      <w:r>
        <w:rPr>
          <w:highlight w:val="yellow"/>
        </w:rPr>
        <w:t xml:space="preserve">При планировании устранения ТД для каждой функциональной подсистемы (ФП) необходимо учитывать:</w:t>
      </w:r>
      <w:r>
        <w:rPr>
          <w:highlight w:val="yellow"/>
        </w:rPr>
      </w:r>
      <w:r>
        <w:rPr>
          <w:highlight w:val="yellow"/>
          <w14:ligatures w14:val="none"/>
        </w:rPr>
      </w:r>
    </w:p>
    <w:p>
      <w:pPr>
        <w:pStyle w:val="936"/>
        <w:numPr>
          <w:ilvl w:val="0"/>
          <w:numId w:val="17"/>
        </w:numPr>
        <w:pBdr/>
        <w:spacing/>
        <w:ind/>
        <w:jc w:val="both"/>
        <w:rPr>
          <w:highlight w:val="yellow"/>
          <w14:ligatures w14:val="none"/>
        </w:rPr>
      </w:pPr>
      <w:r>
        <w:rPr>
          <w:highlight w:val="yellow"/>
        </w:rPr>
        <w:t xml:space="preserve">регулярность релизного цикла по соответствующей ФП;</w:t>
      </w:r>
      <w:r>
        <w:rPr>
          <w:highlight w:val="yellow"/>
        </w:rPr>
      </w:r>
      <w:r>
        <w:rPr>
          <w:highlight w:val="yellow"/>
          <w14:ligatures w14:val="none"/>
        </w:rPr>
      </w:r>
    </w:p>
    <w:p>
      <w:pPr>
        <w:pStyle w:val="936"/>
        <w:numPr>
          <w:ilvl w:val="0"/>
          <w:numId w:val="17"/>
        </w:numPr>
        <w:pBdr/>
        <w:spacing/>
        <w:ind/>
        <w:jc w:val="both"/>
        <w:rPr>
          <w:highlight w:val="yellow"/>
          <w14:ligatures w14:val="none"/>
        </w:rPr>
      </w:pPr>
      <w:r>
        <w:rPr>
          <w:highlight w:val="yellow"/>
        </w:rPr>
      </w:r>
      <w:r>
        <w:rPr>
          <w:highlight w:val="yellow"/>
        </w:rPr>
        <w:t xml:space="preserve">критичность технического долга;</w:t>
      </w:r>
      <w:r>
        <w:rPr>
          <w:highlight w:val="yellow"/>
        </w:rPr>
      </w:r>
      <w:r>
        <w:rPr>
          <w:highlight w:val="yellow"/>
          <w14:ligatures w14:val="none"/>
        </w:rPr>
      </w:r>
    </w:p>
    <w:p>
      <w:pPr>
        <w:pStyle w:val="936"/>
        <w:numPr>
          <w:ilvl w:val="0"/>
          <w:numId w:val="17"/>
        </w:numPr>
        <w:pBdr/>
        <w:spacing/>
        <w:ind/>
        <w:jc w:val="both"/>
        <w:rPr>
          <w:highlight w:val="yellow"/>
          <w14:ligatures w14:val="none"/>
        </w:rPr>
      </w:pPr>
      <w:r>
        <w:rPr>
          <w:highlight w:val="yellow"/>
        </w:rPr>
      </w:r>
      <w:r>
        <w:rPr>
          <w:highlight w:val="yellow"/>
        </w:rPr>
        <w:t xml:space="preserve">наличие ресурсов в команде.</w:t>
      </w:r>
      <w:r>
        <w:rPr>
          <w:highlight w:val="yellow"/>
        </w:rPr>
      </w:r>
      <w:r>
        <w:rPr>
          <w:highlight w:val="yellow"/>
          <w14:ligatures w14:val="none"/>
        </w:rPr>
      </w:r>
    </w:p>
    <w:p>
      <w:pPr>
        <w:pBdr/>
        <w:spacing/>
        <w:ind w:firstLine="210"/>
        <w:jc w:val="both"/>
        <w:rPr>
          <w:highlight w:val="yellow"/>
          <w14:ligatures w14:val="none"/>
        </w:rPr>
      </w:pPr>
      <w:r>
        <w:rPr>
          <w:highlight w:val="yellow"/>
        </w:rPr>
        <w:t xml:space="preserve">Д</w:t>
      </w:r>
      <w:r>
        <w:rPr>
          <w:highlight w:val="yellow"/>
        </w:rPr>
        <w:t xml:space="preserve">ля функциональных подсистем, в которых релизы проводятся нерегулярно или отсутствуют, необходимо </w:t>
      </w:r>
      <w:r>
        <w:rPr>
          <w:highlight w:val="yellow"/>
        </w:rPr>
        <w:t xml:space="preserve">предусмотреть внеочередной релиз в случае критичного ТД и </w:t>
      </w:r>
      <w:r>
        <w:rPr>
          <w:highlight w:val="yellow"/>
        </w:rPr>
        <w:t xml:space="preserve">в случае отсутствия ресурсов – инициировать эскалацию вопроса на технического директора для принятия управленческого решения.</w:t>
      </w:r>
      <w:r>
        <w:rPr>
          <w:highlight w:val="yellow"/>
        </w:rPr>
      </w:r>
      <w:r>
        <w:rPr>
          <w:highlight w:val="yellow"/>
          <w14:ligatures w14:val="none"/>
        </w:rPr>
      </w:r>
    </w:p>
    <w:p>
      <w:pPr>
        <w:pStyle w:val="944"/>
        <w:pBdr/>
        <w:spacing w:after="45" w:before="45"/>
        <w:ind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733"/>
        <w:pBdr/>
        <w:spacing/>
        <w:ind/>
        <w:rPr>
          <w:color w:val="000000" w:themeColor="text1"/>
          <w:sz w:val="24"/>
          <w:szCs w:val="24"/>
        </w:rPr>
      </w:pPr>
      <w:r/>
      <w:bookmarkStart w:id="15" w:name="_Toc14"/>
      <w:r>
        <w:rPr>
          <w:color w:val="000000" w:themeColor="text1"/>
          <w:sz w:val="24"/>
          <w:szCs w:val="24"/>
        </w:rPr>
        <w:t xml:space="preserve">3.2. Приоритезация</w:t>
      </w:r>
      <w:bookmarkEnd w:id="15"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firstLine="210"/>
        <w:jc w:val="both"/>
        <w:rPr/>
      </w:pPr>
      <w:r>
        <w:t xml:space="preserve">Приоритезация задач по устранению ТД осуществляется ответственным за устранение руководителем подразделения </w:t>
      </w:r>
      <w:r>
        <w:t xml:space="preserve">с учетом сроков и важности. Приоритезация должна учитывать потенциальный негативный эффект от несвоевременного устранения ТД.</w:t>
      </w:r>
      <w:r/>
    </w:p>
    <w:p>
      <w:pPr>
        <w:pBdr/>
        <w:spacing/>
        <w:ind w:firstLine="210"/>
        <w:jc w:val="both"/>
        <w:rPr/>
      </w:pPr>
      <w:r>
        <w:t xml:space="preserve">Ответственный за устранение руководитель самостоятельно приоритизирует задачи внутри своего подразделения с учетом соблюдения край</w:t>
      </w:r>
      <w:r>
        <w:t xml:space="preserve">него срока устранения ТД. В случае, если устранение ТД требует участия нескольких подразделений, ответственные руководители должны согласовать приоритеты путем обсуждения и достижения договоренностей. Если соглашения между руководителями подразделений дост</w:t>
      </w:r>
      <w:r>
        <w:t xml:space="preserve">ичь не удается, вопрос о приоритезации эскалируется на линейное руководство для принятия окончательного решения.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/>
      <w:r/>
    </w:p>
    <w:p>
      <w:pPr>
        <w:pStyle w:val="732"/>
        <w:pBdr/>
        <w:spacing/>
        <w:ind/>
        <w:rPr>
          <w:color w:val="000000" w:themeColor="text1"/>
          <w:sz w:val="28"/>
          <w:szCs w:val="28"/>
        </w:rPr>
      </w:pPr>
      <w:r/>
      <w:bookmarkStart w:id="16" w:name="_Toc15"/>
      <w:r>
        <w:rPr>
          <w:color w:val="000000" w:themeColor="text1"/>
          <w:sz w:val="28"/>
          <w:szCs w:val="28"/>
        </w:rPr>
        <w:t xml:space="preserve">4. Устранение технического долга и контроль за устранением</w:t>
      </w:r>
      <w:bookmarkEnd w:id="16"/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firstLine="210"/>
        <w:jc w:val="both"/>
        <w:rPr/>
      </w:pPr>
      <w:r>
        <w:t xml:space="preserve">После определения приоритета задачи по устранению ТД, назначения исполнителя и составления плана работ (см. раздел 3), ответственный за устранение ТД руководитель подразделения осуществляет мониторинг выполнения работ исполнителем, отслеживая прогресс и ср</w:t>
      </w:r>
      <w:r>
        <w:t xml:space="preserve">оки согласно утвержденному плану. Все изменения в плане и ходе работ фиксируются в </w:t>
      </w:r>
      <w:r>
        <w:rPr>
          <w:lang w:val="en-US"/>
        </w:rPr>
        <w:t xml:space="preserve">Jira</w:t>
      </w:r>
      <w:r>
        <w:t xml:space="preserve"> в заявке по выполнению работ.</w:t>
      </w:r>
      <w:r/>
    </w:p>
    <w:p>
      <w:pPr>
        <w:pBdr/>
        <w:spacing/>
        <w:ind w:firstLine="210"/>
        <w:jc w:val="both"/>
        <w:rPr/>
      </w:pPr>
      <w:r>
        <w:t xml:space="preserve">Стейкхолдер контролирует соблюдение сроков по устранению ТД и общий прогресс работ при необходимости. Не устранение УКЗ в течение максимал</w:t>
      </w:r>
      <w:r>
        <w:t xml:space="preserve">ьного срока (см. раздел 1.7) переводит ТД в категорию КЗ, после чего стейкхолдер может принять любые необходимые меры, в том числе блокировку релиза.</w:t>
      </w:r>
      <w:r/>
    </w:p>
    <w:p>
      <w:pPr>
        <w:pBdr/>
        <w:spacing/>
        <w:ind w:firstLine="210"/>
        <w:jc w:val="both"/>
        <w:rPr/>
      </w:pPr>
      <w:r>
        <w:t xml:space="preserve">По завершении работ исполнитель предоставляет результаты ответственному руководителю подразделения, которы</w:t>
      </w:r>
      <w:r>
        <w:t xml:space="preserve">й проверяет соответствие результата плану и критериям приемки. После утверждения руководителя, проводится ПСИ, в котором в обязательном порядке принимает участие стейкхолдер, ответственный за устранение ТД, и проверяет соответствие результата критериям при</w:t>
      </w:r>
      <w:r>
        <w:t xml:space="preserve">емки и выполнение требований к внедряемому решению:</w:t>
      </w:r>
      <w:r/>
    </w:p>
    <w:p>
      <w:pPr>
        <w:pStyle w:val="936"/>
        <w:numPr>
          <w:ilvl w:val="0"/>
          <w:numId w:val="10"/>
        </w:numPr>
        <w:pBdr/>
        <w:spacing/>
        <w:ind/>
        <w:jc w:val="both"/>
        <w:rPr/>
      </w:pPr>
      <w:r>
        <w:t xml:space="preserve">Если результаты тестирования соответствуют критериям приемки и существующим требованиям, стейкхолдер подписывает протокол ПСИ, подтверждая успешность решения для устранения ТД.</w:t>
      </w:r>
      <w:r/>
    </w:p>
    <w:p>
      <w:pPr>
        <w:pStyle w:val="936"/>
        <w:numPr>
          <w:ilvl w:val="0"/>
          <w:numId w:val="10"/>
        </w:numPr>
        <w:pBdr/>
        <w:spacing/>
        <w:ind/>
        <w:jc w:val="both"/>
        <w:rPr/>
      </w:pPr>
      <w:r>
        <w:t xml:space="preserve">Если результаты тестировани</w:t>
      </w:r>
      <w:r>
        <w:t xml:space="preserve">я не соответствуют критериям приемки и существующим требованиям, стейкхолдер указывает причины отклонения в заявке по выполнению работ в </w:t>
      </w:r>
      <w:r>
        <w:rPr>
          <w:lang w:val="en-US"/>
        </w:rPr>
        <w:t xml:space="preserve">Jira</w:t>
      </w:r>
      <w:r>
        <w:t xml:space="preserve">. Задача возвращается к ответственному руководителю и исполнителю для доработки. Цикл «контроль выполнения работ» и</w:t>
      </w:r>
      <w:r>
        <w:t xml:space="preserve"> «проведение ПСИ» повторяется.</w:t>
      </w:r>
      <w:r/>
    </w:p>
    <w:p>
      <w:pPr>
        <w:pBdr/>
        <w:spacing/>
        <w:ind w:firstLine="210"/>
        <w:jc w:val="both"/>
        <w:rPr/>
      </w:pPr>
      <w:r>
        <w:t xml:space="preserve">После успешного прохождения ПСИ ответственный руководитель закрывает заявку на выполнение работ в </w:t>
      </w:r>
      <w:r>
        <w:rPr>
          <w:lang w:val="en-US"/>
        </w:rPr>
        <w:t xml:space="preserve">Jira</w:t>
      </w:r>
      <w:r>
        <w:t xml:space="preserve">, стейкхолдер закрывает заявку на устранение ТД в </w:t>
      </w:r>
      <w:r>
        <w:rPr>
          <w:lang w:val="en-US"/>
        </w:rPr>
        <w:t xml:space="preserve">Jira</w:t>
      </w:r>
      <w:r>
        <w:t xml:space="preserve">. Закрытие заявок является последним шагом для того, чтобы ТД считалс</w:t>
      </w:r>
      <w:r>
        <w:t xml:space="preserve">я устраненным. </w:t>
      </w:r>
      <w:r/>
    </w:p>
    <w:p>
      <w:pPr>
        <w:pBdr/>
        <w:spacing/>
        <w:ind w:firstLine="210"/>
        <w:jc w:val="both"/>
        <w:rPr/>
      </w:pPr>
      <w:r>
        <w:t xml:space="preserve">Вся вышеперечисленная информация, связанная с устранением ТД, должна быть задокументирована в </w:t>
      </w:r>
      <w:r>
        <w:rPr>
          <w:lang w:val="en-US"/>
        </w:rPr>
        <w:t xml:space="preserve">Jira</w:t>
      </w:r>
      <w:r>
        <w:t xml:space="preserve">, включая все необходимые дополнительные комментарии, возникающие в ходе работ по устранению ТД.</w:t>
      </w:r>
      <w:r/>
    </w:p>
    <w:p>
      <w:pPr>
        <w:pStyle w:val="936"/>
        <w:pBdr/>
        <w:spacing/>
        <w:ind w:left="2880"/>
        <w:rPr/>
      </w:pPr>
      <w:r/>
      <w:r/>
    </w:p>
    <w:p>
      <w:pPr>
        <w:pStyle w:val="936"/>
        <w:pBdr/>
        <w:spacing/>
        <w:ind w:left="2880"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78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91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 w:default="1">
    <w:name w:val="Normal"/>
    <w:qFormat/>
    <w:pPr>
      <w:pBdr/>
      <w:spacing/>
      <w:ind/>
    </w:pPr>
  </w:style>
  <w:style w:type="paragraph" w:styleId="732">
    <w:name w:val="Heading 1"/>
    <w:basedOn w:val="731"/>
    <w:next w:val="731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33">
    <w:name w:val="Heading 2"/>
    <w:basedOn w:val="731"/>
    <w:next w:val="731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4">
    <w:name w:val="Heading 3"/>
    <w:basedOn w:val="731"/>
    <w:next w:val="731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35">
    <w:name w:val="Heading 4"/>
    <w:basedOn w:val="731"/>
    <w:next w:val="731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36">
    <w:name w:val="Heading 5"/>
    <w:basedOn w:val="731"/>
    <w:next w:val="731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7">
    <w:name w:val="Heading 6"/>
    <w:basedOn w:val="731"/>
    <w:next w:val="731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8">
    <w:name w:val="Heading 7"/>
    <w:basedOn w:val="731"/>
    <w:next w:val="731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9">
    <w:name w:val="Heading 8"/>
    <w:basedOn w:val="731"/>
    <w:next w:val="731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0">
    <w:name w:val="Heading 9"/>
    <w:basedOn w:val="731"/>
    <w:next w:val="731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1" w:default="1">
    <w:name w:val="Default Paragraph Font"/>
    <w:uiPriority w:val="1"/>
    <w:semiHidden/>
    <w:unhideWhenUsed/>
    <w:pPr>
      <w:pBdr/>
      <w:spacing/>
      <w:ind/>
    </w:pPr>
  </w:style>
  <w:style w:type="table" w:styleId="7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3" w:default="1">
    <w:name w:val="No List"/>
    <w:uiPriority w:val="99"/>
    <w:semiHidden/>
    <w:unhideWhenUsed/>
    <w:pPr>
      <w:pBdr/>
      <w:spacing/>
      <w:ind/>
    </w:pPr>
  </w:style>
  <w:style w:type="character" w:styleId="744" w:customStyle="1">
    <w:name w:val="Heading 1 Char"/>
    <w:basedOn w:val="74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745" w:customStyle="1">
    <w:name w:val="Heading 2 Char"/>
    <w:basedOn w:val="74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746" w:customStyle="1">
    <w:name w:val="Heading 3 Char"/>
    <w:basedOn w:val="74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747" w:customStyle="1">
    <w:name w:val="Heading 4 Char"/>
    <w:basedOn w:val="741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748" w:customStyle="1">
    <w:name w:val="Heading 5 Char"/>
    <w:basedOn w:val="74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749" w:customStyle="1">
    <w:name w:val="Heading 6 Char"/>
    <w:basedOn w:val="7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50" w:customStyle="1">
    <w:name w:val="Heading 7 Char"/>
    <w:basedOn w:val="7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51" w:customStyle="1">
    <w:name w:val="Heading 8 Char"/>
    <w:basedOn w:val="7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2" w:customStyle="1">
    <w:name w:val="Heading 9 Char"/>
    <w:basedOn w:val="7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3" w:customStyle="1">
    <w:name w:val="Title Char"/>
    <w:basedOn w:val="7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54" w:customStyle="1">
    <w:name w:val="Subtitle Char"/>
    <w:basedOn w:val="7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55" w:customStyle="1">
    <w:name w:val="Quote Char"/>
    <w:basedOn w:val="7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56" w:customStyle="1">
    <w:name w:val="Intense Quote Char"/>
    <w:basedOn w:val="74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757" w:customStyle="1">
    <w:name w:val="Header Char"/>
    <w:basedOn w:val="741"/>
    <w:uiPriority w:val="99"/>
    <w:pPr>
      <w:pBdr/>
      <w:spacing/>
      <w:ind/>
    </w:pPr>
  </w:style>
  <w:style w:type="character" w:styleId="758" w:customStyle="1">
    <w:name w:val="Footer Char"/>
    <w:basedOn w:val="741"/>
    <w:uiPriority w:val="99"/>
    <w:pPr>
      <w:pBdr/>
      <w:spacing/>
      <w:ind/>
    </w:pPr>
  </w:style>
  <w:style w:type="character" w:styleId="759" w:customStyle="1">
    <w:name w:val="Footnote Text Char"/>
    <w:basedOn w:val="741"/>
    <w:uiPriority w:val="99"/>
    <w:semiHidden/>
    <w:pPr>
      <w:pBdr/>
      <w:spacing/>
      <w:ind/>
    </w:pPr>
    <w:rPr>
      <w:sz w:val="20"/>
      <w:szCs w:val="20"/>
    </w:rPr>
  </w:style>
  <w:style w:type="character" w:styleId="760" w:customStyle="1">
    <w:name w:val="Endnote Text Char"/>
    <w:basedOn w:val="741"/>
    <w:uiPriority w:val="99"/>
    <w:semiHidden/>
    <w:pPr>
      <w:pBdr/>
      <w:spacing/>
      <w:ind/>
    </w:pPr>
    <w:rPr>
      <w:sz w:val="20"/>
      <w:szCs w:val="20"/>
    </w:rPr>
  </w:style>
  <w:style w:type="table" w:styleId="761">
    <w:name w:val="Table Grid"/>
    <w:basedOn w:val="74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Table Grid Light"/>
    <w:basedOn w:val="74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1"/>
    <w:basedOn w:val="74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2"/>
    <w:basedOn w:val="74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1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2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3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4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 - Accent 5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6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1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2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3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4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5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6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1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2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3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4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5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6"/>
    <w:basedOn w:val="74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7" w:customStyle="1">
    <w:name w:val="Заголовок 1 Знак"/>
    <w:basedOn w:val="741"/>
    <w:link w:val="73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88" w:customStyle="1">
    <w:name w:val="Заголовок 2 Знак"/>
    <w:basedOn w:val="741"/>
    <w:link w:val="73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89" w:customStyle="1">
    <w:name w:val="Заголовок 3 Знак"/>
    <w:basedOn w:val="741"/>
    <w:link w:val="73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90" w:customStyle="1">
    <w:name w:val="Заголовок 4 Знак"/>
    <w:basedOn w:val="741"/>
    <w:link w:val="735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91" w:customStyle="1">
    <w:name w:val="Заголовок 5 Знак"/>
    <w:basedOn w:val="741"/>
    <w:link w:val="73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92" w:customStyle="1">
    <w:name w:val="Заголовок 6 Знак"/>
    <w:basedOn w:val="741"/>
    <w:link w:val="7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 w:customStyle="1">
    <w:name w:val="Заголовок 7 Знак"/>
    <w:basedOn w:val="741"/>
    <w:link w:val="7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 w:customStyle="1">
    <w:name w:val="Заголовок 8 Знак"/>
    <w:basedOn w:val="741"/>
    <w:link w:val="7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 w:customStyle="1">
    <w:name w:val="Заголовок 9 Знак"/>
    <w:basedOn w:val="741"/>
    <w:link w:val="7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731"/>
    <w:next w:val="731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 w:customStyle="1">
    <w:name w:val="Заголовок Знак"/>
    <w:basedOn w:val="741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731"/>
    <w:next w:val="731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 w:customStyle="1">
    <w:name w:val="Подзаголовок Знак"/>
    <w:basedOn w:val="741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731"/>
    <w:next w:val="731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 w:customStyle="1">
    <w:name w:val="Цитата 2 Знак"/>
    <w:basedOn w:val="741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741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03">
    <w:name w:val="Intense Quote"/>
    <w:basedOn w:val="731"/>
    <w:next w:val="731"/>
    <w:link w:val="904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04" w:customStyle="1">
    <w:name w:val="Выделенная цитата Знак"/>
    <w:basedOn w:val="741"/>
    <w:link w:val="903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05">
    <w:name w:val="Intense Reference"/>
    <w:basedOn w:val="741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906">
    <w:name w:val="Subtle Emphasis"/>
    <w:basedOn w:val="7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741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741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7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7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731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 w:customStyle="1">
    <w:name w:val="Верхний колонтитул Знак"/>
    <w:basedOn w:val="741"/>
    <w:link w:val="911"/>
    <w:uiPriority w:val="99"/>
    <w:pPr>
      <w:pBdr/>
      <w:spacing/>
      <w:ind/>
    </w:pPr>
  </w:style>
  <w:style w:type="paragraph" w:styleId="913">
    <w:name w:val="Footer"/>
    <w:basedOn w:val="731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 w:customStyle="1">
    <w:name w:val="Нижний колонтитул Знак"/>
    <w:basedOn w:val="741"/>
    <w:link w:val="913"/>
    <w:uiPriority w:val="99"/>
    <w:pPr>
      <w:pBdr/>
      <w:spacing/>
      <w:ind/>
    </w:pPr>
  </w:style>
  <w:style w:type="paragraph" w:styleId="915">
    <w:name w:val="Caption"/>
    <w:basedOn w:val="731"/>
    <w:next w:val="731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16">
    <w:name w:val="footnote text"/>
    <w:basedOn w:val="731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 w:customStyle="1">
    <w:name w:val="Текст сноски Знак"/>
    <w:basedOn w:val="741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741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731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 w:customStyle="1">
    <w:name w:val="Текст концевой сноски Знак"/>
    <w:basedOn w:val="741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741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7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7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731"/>
    <w:next w:val="731"/>
    <w:uiPriority w:val="39"/>
    <w:unhideWhenUsed/>
    <w:pPr>
      <w:pBdr/>
      <w:spacing w:after="100"/>
      <w:ind/>
    </w:pPr>
  </w:style>
  <w:style w:type="paragraph" w:styleId="925">
    <w:name w:val="toc 2"/>
    <w:basedOn w:val="731"/>
    <w:next w:val="731"/>
    <w:uiPriority w:val="39"/>
    <w:unhideWhenUsed/>
    <w:pPr>
      <w:pBdr/>
      <w:spacing w:after="100"/>
      <w:ind w:left="220"/>
    </w:pPr>
  </w:style>
  <w:style w:type="paragraph" w:styleId="926">
    <w:name w:val="toc 3"/>
    <w:basedOn w:val="731"/>
    <w:next w:val="731"/>
    <w:uiPriority w:val="39"/>
    <w:unhideWhenUsed/>
    <w:pPr>
      <w:pBdr/>
      <w:spacing w:after="100"/>
      <w:ind w:left="440"/>
    </w:pPr>
  </w:style>
  <w:style w:type="paragraph" w:styleId="927">
    <w:name w:val="toc 4"/>
    <w:basedOn w:val="731"/>
    <w:next w:val="731"/>
    <w:uiPriority w:val="39"/>
    <w:unhideWhenUsed/>
    <w:pPr>
      <w:pBdr/>
      <w:spacing w:after="100"/>
      <w:ind w:left="660"/>
    </w:pPr>
  </w:style>
  <w:style w:type="paragraph" w:styleId="928">
    <w:name w:val="toc 5"/>
    <w:basedOn w:val="731"/>
    <w:next w:val="731"/>
    <w:uiPriority w:val="39"/>
    <w:unhideWhenUsed/>
    <w:pPr>
      <w:pBdr/>
      <w:spacing w:after="100"/>
      <w:ind w:left="880"/>
    </w:pPr>
  </w:style>
  <w:style w:type="paragraph" w:styleId="929">
    <w:name w:val="toc 6"/>
    <w:basedOn w:val="731"/>
    <w:next w:val="731"/>
    <w:uiPriority w:val="39"/>
    <w:unhideWhenUsed/>
    <w:pPr>
      <w:pBdr/>
      <w:spacing w:after="100"/>
      <w:ind w:left="1100"/>
    </w:pPr>
  </w:style>
  <w:style w:type="paragraph" w:styleId="930">
    <w:name w:val="toc 7"/>
    <w:basedOn w:val="731"/>
    <w:next w:val="731"/>
    <w:uiPriority w:val="39"/>
    <w:unhideWhenUsed/>
    <w:pPr>
      <w:pBdr/>
      <w:spacing w:after="100"/>
      <w:ind w:left="1320"/>
    </w:pPr>
  </w:style>
  <w:style w:type="paragraph" w:styleId="931">
    <w:name w:val="toc 8"/>
    <w:basedOn w:val="731"/>
    <w:next w:val="731"/>
    <w:uiPriority w:val="39"/>
    <w:unhideWhenUsed/>
    <w:pPr>
      <w:pBdr/>
      <w:spacing w:after="100"/>
      <w:ind w:left="1540"/>
    </w:pPr>
  </w:style>
  <w:style w:type="paragraph" w:styleId="932">
    <w:name w:val="toc 9"/>
    <w:basedOn w:val="731"/>
    <w:next w:val="731"/>
    <w:uiPriority w:val="39"/>
    <w:unhideWhenUsed/>
    <w:pPr>
      <w:pBdr/>
      <w:spacing w:after="100"/>
      <w:ind w:left="1760"/>
    </w:pPr>
  </w:style>
  <w:style w:type="paragraph" w:styleId="933">
    <w:name w:val="TOC Heading"/>
    <w:uiPriority w:val="39"/>
    <w:unhideWhenUsed/>
    <w:pPr>
      <w:pBdr/>
      <w:spacing/>
      <w:ind/>
    </w:pPr>
  </w:style>
  <w:style w:type="paragraph" w:styleId="934">
    <w:name w:val="table of figures"/>
    <w:basedOn w:val="731"/>
    <w:next w:val="731"/>
    <w:uiPriority w:val="99"/>
    <w:unhideWhenUsed/>
    <w:pPr>
      <w:pBdr/>
      <w:spacing w:after="0"/>
      <w:ind/>
    </w:pPr>
  </w:style>
  <w:style w:type="paragraph" w:styleId="935">
    <w:name w:val="No Spacing"/>
    <w:basedOn w:val="731"/>
    <w:uiPriority w:val="1"/>
    <w:qFormat/>
    <w:pPr>
      <w:pBdr/>
      <w:spacing w:after="0" w:line="240" w:lineRule="auto"/>
      <w:ind/>
    </w:pPr>
  </w:style>
  <w:style w:type="paragraph" w:styleId="936">
    <w:name w:val="List Paragraph"/>
    <w:basedOn w:val="731"/>
    <w:uiPriority w:val="34"/>
    <w:qFormat/>
    <w:pPr>
      <w:pBdr/>
      <w:spacing/>
      <w:ind w:left="720"/>
      <w:contextualSpacing w:val="true"/>
    </w:pPr>
  </w:style>
  <w:style w:type="character" w:styleId="937">
    <w:name w:val="annotation reference"/>
    <w:basedOn w:val="74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38">
    <w:name w:val="annotation text"/>
    <w:basedOn w:val="731"/>
    <w:link w:val="93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39" w:customStyle="1">
    <w:name w:val="Текст примечания Знак"/>
    <w:basedOn w:val="741"/>
    <w:link w:val="938"/>
    <w:uiPriority w:val="99"/>
    <w:semiHidden/>
    <w:pPr>
      <w:pBdr/>
      <w:spacing/>
      <w:ind/>
    </w:pPr>
    <w:rPr>
      <w:sz w:val="20"/>
      <w:szCs w:val="20"/>
    </w:rPr>
  </w:style>
  <w:style w:type="paragraph" w:styleId="940">
    <w:name w:val="annotation subject"/>
    <w:basedOn w:val="938"/>
    <w:next w:val="938"/>
    <w:link w:val="941"/>
    <w:uiPriority w:val="99"/>
    <w:semiHidden/>
    <w:unhideWhenUsed/>
    <w:pPr>
      <w:pBdr/>
      <w:spacing/>
      <w:ind/>
    </w:pPr>
    <w:rPr>
      <w:b/>
      <w:bCs/>
    </w:rPr>
  </w:style>
  <w:style w:type="character" w:styleId="941" w:customStyle="1">
    <w:name w:val="Тема примечания Знак"/>
    <w:basedOn w:val="939"/>
    <w:link w:val="940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2">
    <w:name w:val="Balloon Text"/>
    <w:basedOn w:val="731"/>
    <w:link w:val="943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43" w:customStyle="1">
    <w:name w:val="Текст выноски Знак"/>
    <w:basedOn w:val="741"/>
    <w:link w:val="942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944" w:customStyle="1">
    <w:name w:val="StyleCell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cs="Times New Roman" w:eastAsiaTheme="minorEastAsia"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45" w:default="1">
    <w:name w:val="Normal"/>
    <w:qFormat/>
    <w:pPr>
      <w:pBdr/>
      <w:spacing/>
      <w:ind/>
    </w:pPr>
  </w:style>
  <w:style w:type="paragraph" w:styleId="1446">
    <w:name w:val="Heading 1"/>
    <w:basedOn w:val="1445"/>
    <w:next w:val="1445"/>
    <w:link w:val="16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1447">
    <w:name w:val="Heading 2"/>
    <w:basedOn w:val="1445"/>
    <w:next w:val="1445"/>
    <w:link w:val="16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1448">
    <w:name w:val="Heading 3"/>
    <w:basedOn w:val="1445"/>
    <w:next w:val="1445"/>
    <w:link w:val="16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1449">
    <w:name w:val="Heading 4"/>
    <w:basedOn w:val="1445"/>
    <w:next w:val="1445"/>
    <w:link w:val="16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1450">
    <w:name w:val="Heading 5"/>
    <w:basedOn w:val="1445"/>
    <w:next w:val="1445"/>
    <w:link w:val="16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1451">
    <w:name w:val="Heading 6"/>
    <w:basedOn w:val="1445"/>
    <w:next w:val="1445"/>
    <w:link w:val="160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2">
    <w:name w:val="Heading 7"/>
    <w:basedOn w:val="1445"/>
    <w:next w:val="1445"/>
    <w:link w:val="160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3">
    <w:name w:val="Heading 8"/>
    <w:basedOn w:val="1445"/>
    <w:next w:val="1445"/>
    <w:link w:val="160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54">
    <w:name w:val="Heading 9"/>
    <w:basedOn w:val="1445"/>
    <w:next w:val="1445"/>
    <w:link w:val="160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55" w:default="1">
    <w:name w:val="Default Paragraph Font"/>
    <w:uiPriority w:val="1"/>
    <w:semiHidden/>
    <w:unhideWhenUsed/>
    <w:pPr>
      <w:pBdr/>
      <w:spacing/>
      <w:ind/>
    </w:pPr>
  </w:style>
  <w:style w:type="table" w:styleId="145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57" w:default="1">
    <w:name w:val="No List"/>
    <w:uiPriority w:val="99"/>
    <w:semiHidden/>
    <w:unhideWhenUsed/>
    <w:pPr>
      <w:pBdr/>
      <w:spacing/>
      <w:ind/>
    </w:pPr>
  </w:style>
  <w:style w:type="character" w:styleId="1458" w:customStyle="1">
    <w:name w:val="Heading 1 Char"/>
    <w:basedOn w:val="145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1459" w:customStyle="1">
    <w:name w:val="Heading 2 Char"/>
    <w:basedOn w:val="145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1460" w:customStyle="1">
    <w:name w:val="Heading 3 Char"/>
    <w:basedOn w:val="145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1461" w:customStyle="1">
    <w:name w:val="Heading 4 Char"/>
    <w:basedOn w:val="1455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1462" w:customStyle="1">
    <w:name w:val="Heading 5 Char"/>
    <w:basedOn w:val="145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1463" w:customStyle="1">
    <w:name w:val="Heading 6 Char"/>
    <w:basedOn w:val="14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464" w:customStyle="1">
    <w:name w:val="Heading 7 Char"/>
    <w:basedOn w:val="14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465" w:customStyle="1">
    <w:name w:val="Heading 8 Char"/>
    <w:basedOn w:val="14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466" w:customStyle="1">
    <w:name w:val="Heading 9 Char"/>
    <w:basedOn w:val="14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467" w:customStyle="1">
    <w:name w:val="Title Char"/>
    <w:basedOn w:val="14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468" w:customStyle="1">
    <w:name w:val="Subtitle Char"/>
    <w:basedOn w:val="14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469" w:customStyle="1">
    <w:name w:val="Quote Char"/>
    <w:basedOn w:val="14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470" w:customStyle="1">
    <w:name w:val="Intense Quote Char"/>
    <w:basedOn w:val="1455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1471" w:customStyle="1">
    <w:name w:val="Header Char"/>
    <w:basedOn w:val="1455"/>
    <w:uiPriority w:val="99"/>
    <w:pPr>
      <w:pBdr/>
      <w:spacing/>
      <w:ind/>
    </w:pPr>
  </w:style>
  <w:style w:type="character" w:styleId="1472" w:customStyle="1">
    <w:name w:val="Footer Char"/>
    <w:basedOn w:val="1455"/>
    <w:uiPriority w:val="99"/>
    <w:pPr>
      <w:pBdr/>
      <w:spacing/>
      <w:ind/>
    </w:pPr>
  </w:style>
  <w:style w:type="character" w:styleId="1473" w:customStyle="1">
    <w:name w:val="Footnote Text Char"/>
    <w:basedOn w:val="1455"/>
    <w:uiPriority w:val="99"/>
    <w:semiHidden/>
    <w:pPr>
      <w:pBdr/>
      <w:spacing/>
      <w:ind/>
    </w:pPr>
    <w:rPr>
      <w:sz w:val="20"/>
      <w:szCs w:val="20"/>
    </w:rPr>
  </w:style>
  <w:style w:type="character" w:styleId="1474" w:customStyle="1">
    <w:name w:val="Endnote Text Char"/>
    <w:basedOn w:val="1455"/>
    <w:uiPriority w:val="99"/>
    <w:semiHidden/>
    <w:pPr>
      <w:pBdr/>
      <w:spacing/>
      <w:ind/>
    </w:pPr>
    <w:rPr>
      <w:sz w:val="20"/>
      <w:szCs w:val="20"/>
    </w:rPr>
  </w:style>
  <w:style w:type="table" w:styleId="1475">
    <w:name w:val="Table Grid"/>
    <w:basedOn w:val="145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Table Grid Light"/>
    <w:basedOn w:val="145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Plain Table 1"/>
    <w:basedOn w:val="145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Plain Table 2"/>
    <w:basedOn w:val="1456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Plain Table 3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Plain Table 4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Plain Table 5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1 Light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Grid Table 1 Light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Grid Table 1 Light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Grid Table 1 Light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Grid Table 1 Light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Grid Table 1 Light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Grid Table 1 Light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2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Grid Table 2 - Accent 1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Grid Table 2 - Accent 2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Grid Table 2 - Accent 3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Grid Table 2 - Accent 4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Grid Table 2 - Accent 5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Grid Table 2 - Accent 6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3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Grid Table 3 - Accent 1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Grid Table 3 - Accent 2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Grid Table 3 - Accent 3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Grid Table 3 - Accent 4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Grid Table 3 - Accent 5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Grid Table 3 - Accent 6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4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Grid Table 4 - Accent 1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Grid Table 4 - Accent 2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Grid Table 4 - Accent 3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Grid Table 4 - Accent 4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Grid Table 4 - Accent 5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Grid Table 4 - Accent 6"/>
    <w:basedOn w:val="1456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5 Dark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Grid Table 5 Dark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Grid Table 5 Dark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Grid Table 5 Dark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Grid Table 5 Dark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Grid Table 5 Dark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Grid Table 5 Dark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6 Colorful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Grid Table 6 Colorful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Grid Table 6 Colorful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Grid Table 6 Colorful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Grid Table 6 Colorful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Grid Table 6 Colorful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Grid Table 6 Colorful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7 Colorful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Grid Table 7 Colorful - Accent 1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Grid Table 7 Colorful - Accent 2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Grid Table 7 Colorful - Accent 3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Grid Table 7 Colorful - Accent 4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Grid Table 7 Colorful - Accent 5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Grid Table 7 Colorful - Accent 6"/>
    <w:basedOn w:val="1456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1 Light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List Table 1 Light - Accent 1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List Table 1 Light - Accent 2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List Table 1 Light - Accent 3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List Table 1 Light - Accent 4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List Table 1 Light - Accent 5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List Table 1 Light - Accent 6"/>
    <w:basedOn w:val="14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List Table 2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List Table 2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List Table 2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 w:customStyle="1">
    <w:name w:val="List Table 2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 w:customStyle="1">
    <w:name w:val="List Table 2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 w:customStyle="1">
    <w:name w:val="List Table 2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 w:customStyle="1">
    <w:name w:val="List Table 3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 w:customStyle="1">
    <w:name w:val="List Table 3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 w:customStyle="1">
    <w:name w:val="List Table 3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 w:customStyle="1">
    <w:name w:val="List Table 3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 w:customStyle="1">
    <w:name w:val="List Table 3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 w:customStyle="1">
    <w:name w:val="List Table 3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 w:customStyle="1">
    <w:name w:val="List Table 4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 w:customStyle="1">
    <w:name w:val="List Table 4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 w:customStyle="1">
    <w:name w:val="List Table 4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 w:customStyle="1">
    <w:name w:val="List Table 4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 w:customStyle="1">
    <w:name w:val="List Table 4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 w:customStyle="1">
    <w:name w:val="List Table 4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5 Dark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 w:customStyle="1">
    <w:name w:val="List Table 5 Dark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 w:customStyle="1">
    <w:name w:val="List Table 5 Dark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 w:customStyle="1">
    <w:name w:val="List Table 5 Dark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 w:customStyle="1">
    <w:name w:val="List Table 5 Dark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 w:customStyle="1">
    <w:name w:val="List Table 5 Dark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 w:customStyle="1">
    <w:name w:val="List Table 5 Dark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6 Colorful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 w:customStyle="1">
    <w:name w:val="List Table 6 Colorful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 w:customStyle="1">
    <w:name w:val="List Table 6 Colorful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 w:customStyle="1">
    <w:name w:val="List Table 6 Colorful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 w:customStyle="1">
    <w:name w:val="List Table 6 Colorful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 w:customStyle="1">
    <w:name w:val="List Table 6 Colorful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 w:customStyle="1">
    <w:name w:val="List Table 6 Colorful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7 Colorful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 w:customStyle="1">
    <w:name w:val="List Table 7 Colorful - Accent 1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 w:customStyle="1">
    <w:name w:val="List Table 7 Colorful - Accent 2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 w:customStyle="1">
    <w:name w:val="List Table 7 Colorful - Accent 3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 w:customStyle="1">
    <w:name w:val="List Table 7 Colorful - Accent 4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 w:customStyle="1">
    <w:name w:val="List Table 7 Colorful - Accent 5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 w:customStyle="1">
    <w:name w:val="List Table 7 Colorful - Accent 6"/>
    <w:basedOn w:val="1456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 w:customStyle="1">
    <w:name w:val="Lined - Accent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 w:customStyle="1">
    <w:name w:val="Lined - Accent 1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 w:customStyle="1">
    <w:name w:val="Lined - Accent 2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 w:customStyle="1">
    <w:name w:val="Lined - Accent 3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 w:customStyle="1">
    <w:name w:val="Lined - Accent 4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 w:customStyle="1">
    <w:name w:val="Lined - Accent 5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 w:customStyle="1">
    <w:name w:val="Lined - Accent 6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 w:customStyle="1">
    <w:name w:val="Bordered &amp; Lined - Accent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 w:customStyle="1">
    <w:name w:val="Bordered &amp; Lined - Accent 1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 w:customStyle="1">
    <w:name w:val="Bordered &amp; Lined - Accent 2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 w:customStyle="1">
    <w:name w:val="Bordered &amp; Lined - Accent 3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 w:customStyle="1">
    <w:name w:val="Bordered &amp; Lined - Accent 4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 w:customStyle="1">
    <w:name w:val="Bordered &amp; Lined - Accent 5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 w:customStyle="1">
    <w:name w:val="Bordered &amp; Lined - Accent 6"/>
    <w:basedOn w:val="145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 w:customStyle="1">
    <w:name w:val="Bordered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 w:customStyle="1">
    <w:name w:val="Bordered - Accent 1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 w:customStyle="1">
    <w:name w:val="Bordered - Accent 2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 w:customStyle="1">
    <w:name w:val="Bordered - Accent 3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 w:customStyle="1">
    <w:name w:val="Bordered - Accent 4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 w:customStyle="1">
    <w:name w:val="Bordered - Accent 5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 w:customStyle="1">
    <w:name w:val="Bordered - Accent 6"/>
    <w:basedOn w:val="145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01" w:customStyle="1">
    <w:name w:val="Заголовок 1 Знак"/>
    <w:basedOn w:val="1455"/>
    <w:link w:val="144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1602" w:customStyle="1">
    <w:name w:val="Заголовок 2 Знак"/>
    <w:basedOn w:val="1455"/>
    <w:link w:val="144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1603" w:customStyle="1">
    <w:name w:val="Заголовок 3 Знак"/>
    <w:basedOn w:val="1455"/>
    <w:link w:val="144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1604" w:customStyle="1">
    <w:name w:val="Заголовок 4 Знак"/>
    <w:basedOn w:val="1455"/>
    <w:link w:val="1449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1605" w:customStyle="1">
    <w:name w:val="Заголовок 5 Знак"/>
    <w:basedOn w:val="1455"/>
    <w:link w:val="145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1606" w:customStyle="1">
    <w:name w:val="Заголовок 6 Знак"/>
    <w:basedOn w:val="1455"/>
    <w:link w:val="14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07" w:customStyle="1">
    <w:name w:val="Заголовок 7 Знак"/>
    <w:basedOn w:val="1455"/>
    <w:link w:val="14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08" w:customStyle="1">
    <w:name w:val="Заголовок 8 Знак"/>
    <w:basedOn w:val="1455"/>
    <w:link w:val="14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9" w:customStyle="1">
    <w:name w:val="Заголовок 9 Знак"/>
    <w:basedOn w:val="1455"/>
    <w:link w:val="14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10">
    <w:name w:val="Title"/>
    <w:basedOn w:val="1445"/>
    <w:next w:val="1445"/>
    <w:link w:val="1611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11" w:customStyle="1">
    <w:name w:val="Заголовок Знак"/>
    <w:basedOn w:val="1455"/>
    <w:link w:val="16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2">
    <w:name w:val="Subtitle"/>
    <w:basedOn w:val="1445"/>
    <w:next w:val="1445"/>
    <w:link w:val="16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3" w:customStyle="1">
    <w:name w:val="Подзаголовок Знак"/>
    <w:basedOn w:val="1455"/>
    <w:link w:val="16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14">
    <w:name w:val="Quote"/>
    <w:basedOn w:val="1445"/>
    <w:next w:val="1445"/>
    <w:link w:val="16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15" w:customStyle="1">
    <w:name w:val="Цитата 2 Знак"/>
    <w:basedOn w:val="1455"/>
    <w:link w:val="16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16">
    <w:name w:val="List Paragraph"/>
    <w:basedOn w:val="1445"/>
    <w:uiPriority w:val="34"/>
    <w:qFormat/>
    <w:pPr>
      <w:pBdr/>
      <w:spacing/>
      <w:ind w:left="720"/>
      <w:contextualSpacing w:val="true"/>
    </w:pPr>
  </w:style>
  <w:style w:type="character" w:styleId="1617">
    <w:name w:val="Intense Emphasis"/>
    <w:basedOn w:val="1455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1618">
    <w:name w:val="Intense Quote"/>
    <w:basedOn w:val="1445"/>
    <w:next w:val="1445"/>
    <w:link w:val="161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1619" w:customStyle="1">
    <w:name w:val="Выделенная цитата Знак"/>
    <w:basedOn w:val="1455"/>
    <w:link w:val="161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1620">
    <w:name w:val="Intense Reference"/>
    <w:basedOn w:val="1455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paragraph" w:styleId="1621">
    <w:name w:val="No Spacing"/>
    <w:basedOn w:val="1445"/>
    <w:uiPriority w:val="1"/>
    <w:qFormat/>
    <w:pPr>
      <w:pBdr/>
      <w:spacing/>
      <w:ind/>
    </w:pPr>
  </w:style>
  <w:style w:type="character" w:styleId="1622">
    <w:name w:val="Subtle Emphasis"/>
    <w:basedOn w:val="14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23">
    <w:name w:val="Emphasis"/>
    <w:basedOn w:val="1455"/>
    <w:uiPriority w:val="20"/>
    <w:qFormat/>
    <w:pPr>
      <w:pBdr/>
      <w:spacing/>
      <w:ind/>
    </w:pPr>
    <w:rPr>
      <w:i/>
      <w:iCs/>
    </w:rPr>
  </w:style>
  <w:style w:type="character" w:styleId="1624">
    <w:name w:val="Strong"/>
    <w:basedOn w:val="1455"/>
    <w:uiPriority w:val="22"/>
    <w:qFormat/>
    <w:pPr>
      <w:pBdr/>
      <w:spacing/>
      <w:ind/>
    </w:pPr>
    <w:rPr>
      <w:b/>
      <w:bCs/>
    </w:rPr>
  </w:style>
  <w:style w:type="character" w:styleId="1625">
    <w:name w:val="Subtle Reference"/>
    <w:basedOn w:val="14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26">
    <w:name w:val="Book Title"/>
    <w:basedOn w:val="14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27">
    <w:name w:val="Header"/>
    <w:basedOn w:val="1445"/>
    <w:link w:val="1628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628" w:customStyle="1">
    <w:name w:val="Верхний колонтитул Знак"/>
    <w:basedOn w:val="1455"/>
    <w:link w:val="1627"/>
    <w:uiPriority w:val="99"/>
    <w:pPr>
      <w:pBdr/>
      <w:spacing/>
      <w:ind/>
    </w:pPr>
  </w:style>
  <w:style w:type="paragraph" w:styleId="1629">
    <w:name w:val="Footer"/>
    <w:basedOn w:val="1445"/>
    <w:link w:val="1630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630" w:customStyle="1">
    <w:name w:val="Нижний колонтитул Знак"/>
    <w:basedOn w:val="1455"/>
    <w:link w:val="1629"/>
    <w:uiPriority w:val="99"/>
    <w:pPr>
      <w:pBdr/>
      <w:spacing/>
      <w:ind/>
    </w:pPr>
  </w:style>
  <w:style w:type="paragraph" w:styleId="1631">
    <w:name w:val="Caption"/>
    <w:basedOn w:val="1445"/>
    <w:next w:val="1445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1632">
    <w:name w:val="footnote text"/>
    <w:basedOn w:val="1445"/>
    <w:link w:val="1633"/>
    <w:uiPriority w:val="99"/>
    <w:semiHidden/>
    <w:unhideWhenUsed/>
    <w:pPr>
      <w:pBdr/>
      <w:spacing/>
      <w:ind/>
    </w:pPr>
  </w:style>
  <w:style w:type="character" w:styleId="1633" w:customStyle="1">
    <w:name w:val="Текст сноски Знак"/>
    <w:basedOn w:val="1455"/>
    <w:link w:val="1632"/>
    <w:uiPriority w:val="99"/>
    <w:semiHidden/>
    <w:pPr>
      <w:pBdr/>
      <w:spacing/>
      <w:ind/>
    </w:pPr>
    <w:rPr>
      <w:sz w:val="20"/>
      <w:szCs w:val="20"/>
    </w:rPr>
  </w:style>
  <w:style w:type="character" w:styleId="1634">
    <w:name w:val="footnote reference"/>
    <w:basedOn w:val="1455"/>
    <w:uiPriority w:val="99"/>
    <w:semiHidden/>
    <w:unhideWhenUsed/>
    <w:pPr>
      <w:pBdr/>
      <w:spacing/>
      <w:ind/>
    </w:pPr>
    <w:rPr>
      <w:vertAlign w:val="superscript"/>
    </w:rPr>
  </w:style>
  <w:style w:type="paragraph" w:styleId="1635">
    <w:name w:val="endnote text"/>
    <w:basedOn w:val="1445"/>
    <w:link w:val="1636"/>
    <w:uiPriority w:val="99"/>
    <w:semiHidden/>
    <w:unhideWhenUsed/>
    <w:pPr>
      <w:pBdr/>
      <w:spacing/>
      <w:ind/>
    </w:pPr>
  </w:style>
  <w:style w:type="character" w:styleId="1636" w:customStyle="1">
    <w:name w:val="Текст концевой сноски Знак"/>
    <w:basedOn w:val="1455"/>
    <w:link w:val="1635"/>
    <w:uiPriority w:val="99"/>
    <w:semiHidden/>
    <w:pPr>
      <w:pBdr/>
      <w:spacing/>
      <w:ind/>
    </w:pPr>
    <w:rPr>
      <w:sz w:val="20"/>
      <w:szCs w:val="20"/>
    </w:rPr>
  </w:style>
  <w:style w:type="character" w:styleId="1637">
    <w:name w:val="endnote reference"/>
    <w:basedOn w:val="1455"/>
    <w:uiPriority w:val="99"/>
    <w:semiHidden/>
    <w:unhideWhenUsed/>
    <w:pPr>
      <w:pBdr/>
      <w:spacing/>
      <w:ind/>
    </w:pPr>
    <w:rPr>
      <w:vertAlign w:val="superscript"/>
    </w:rPr>
  </w:style>
  <w:style w:type="character" w:styleId="1638">
    <w:name w:val="Hyperlink"/>
    <w:basedOn w:val="14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39">
    <w:name w:val="FollowedHyperlink"/>
    <w:basedOn w:val="14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40">
    <w:name w:val="toc 1"/>
    <w:basedOn w:val="1445"/>
    <w:next w:val="1445"/>
    <w:uiPriority w:val="39"/>
    <w:unhideWhenUsed/>
    <w:pPr>
      <w:pBdr/>
      <w:spacing w:after="100"/>
      <w:ind/>
    </w:pPr>
  </w:style>
  <w:style w:type="paragraph" w:styleId="1641">
    <w:name w:val="toc 2"/>
    <w:basedOn w:val="1445"/>
    <w:next w:val="1445"/>
    <w:uiPriority w:val="39"/>
    <w:unhideWhenUsed/>
    <w:pPr>
      <w:pBdr/>
      <w:spacing w:after="100"/>
      <w:ind w:left="220"/>
    </w:pPr>
  </w:style>
  <w:style w:type="paragraph" w:styleId="1642">
    <w:name w:val="toc 3"/>
    <w:basedOn w:val="1445"/>
    <w:next w:val="1445"/>
    <w:uiPriority w:val="39"/>
    <w:unhideWhenUsed/>
    <w:pPr>
      <w:pBdr/>
      <w:spacing w:after="100"/>
      <w:ind w:left="440"/>
    </w:pPr>
  </w:style>
  <w:style w:type="paragraph" w:styleId="1643">
    <w:name w:val="toc 4"/>
    <w:basedOn w:val="1445"/>
    <w:next w:val="1445"/>
    <w:uiPriority w:val="39"/>
    <w:unhideWhenUsed/>
    <w:pPr>
      <w:pBdr/>
      <w:spacing w:after="100"/>
      <w:ind w:left="660"/>
    </w:pPr>
  </w:style>
  <w:style w:type="paragraph" w:styleId="1644">
    <w:name w:val="toc 5"/>
    <w:basedOn w:val="1445"/>
    <w:next w:val="1445"/>
    <w:uiPriority w:val="39"/>
    <w:unhideWhenUsed/>
    <w:pPr>
      <w:pBdr/>
      <w:spacing w:after="100"/>
      <w:ind w:left="880"/>
    </w:pPr>
  </w:style>
  <w:style w:type="paragraph" w:styleId="1645">
    <w:name w:val="toc 6"/>
    <w:basedOn w:val="1445"/>
    <w:next w:val="1445"/>
    <w:uiPriority w:val="39"/>
    <w:unhideWhenUsed/>
    <w:pPr>
      <w:pBdr/>
      <w:spacing w:after="100"/>
      <w:ind w:left="1100"/>
    </w:pPr>
  </w:style>
  <w:style w:type="paragraph" w:styleId="1646">
    <w:name w:val="toc 7"/>
    <w:basedOn w:val="1445"/>
    <w:next w:val="1445"/>
    <w:uiPriority w:val="39"/>
    <w:unhideWhenUsed/>
    <w:pPr>
      <w:pBdr/>
      <w:spacing w:after="100"/>
      <w:ind w:left="1320"/>
    </w:pPr>
  </w:style>
  <w:style w:type="paragraph" w:styleId="1647">
    <w:name w:val="toc 8"/>
    <w:basedOn w:val="1445"/>
    <w:next w:val="1445"/>
    <w:uiPriority w:val="39"/>
    <w:unhideWhenUsed/>
    <w:pPr>
      <w:pBdr/>
      <w:spacing w:after="100"/>
      <w:ind w:left="1540"/>
    </w:pPr>
  </w:style>
  <w:style w:type="paragraph" w:styleId="1648">
    <w:name w:val="toc 9"/>
    <w:basedOn w:val="1445"/>
    <w:next w:val="1445"/>
    <w:uiPriority w:val="39"/>
    <w:unhideWhenUsed/>
    <w:pPr>
      <w:pBdr/>
      <w:spacing w:after="100"/>
      <w:ind w:left="1760"/>
    </w:pPr>
  </w:style>
  <w:style w:type="paragraph" w:styleId="1649">
    <w:name w:val="TOC Heading"/>
    <w:uiPriority w:val="39"/>
    <w:unhideWhenUsed/>
    <w:pPr>
      <w:pBdr/>
      <w:spacing/>
      <w:ind/>
    </w:pPr>
  </w:style>
  <w:style w:type="paragraph" w:styleId="1650">
    <w:name w:val="table of figures"/>
    <w:basedOn w:val="1445"/>
    <w:next w:val="1445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ПАО Сбербанк России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Алексей Андреевич</dc:creator>
  <cp:revision>4</cp:revision>
  <dcterms:created xsi:type="dcterms:W3CDTF">2025-05-16T11:14:00Z</dcterms:created>
  <dcterms:modified xsi:type="dcterms:W3CDTF">2025-06-23T09:12:50Z</dcterms:modified>
</cp:coreProperties>
</file>