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DOSSIER D’OPTIMISATION BDD</w:t>
      </w:r>
    </w:p>
    <w:p>
      <w:pPr>
        <w:pStyle w:val="Subtitle"/>
        <w:jc w:val="center"/>
      </w:pPr>
      <w:r>
        <w:t>ShopFlow — Ateliers 1 à 4 bis, 7, 8 et 9</w:t>
      </w:r>
    </w:p>
    <w:p>
      <w:pPr>
        <w:jc w:val="center"/>
      </w:pPr>
      <w:r>
        <w:t>Sup de Vinci — Mastère Développement Full-Stack</w:t>
        <w:br/>
      </w:r>
      <w:r>
        <w:t>Mamadou Cherif DIALLO</w:t>
      </w:r>
    </w:p>
    <w:p/>
    <w:p>
      <w:r>
        <w:rPr>
          <w:b/>
        </w:rPr>
        <w:t xml:space="preserve">Objectif. </w:t>
      </w:r>
      <w:r>
        <w:t>Montrer une démarche simple et vérifiable : exécuter une requête, mesurer son comportement, modifier un seul élément, mesurer à nouveau puis décider si la modification mérite d’être conservée.</w:t>
      </w:r>
    </w:p>
    <w:p>
      <w:r>
        <w:rPr>
          <w:b/>
        </w:rPr>
        <w:t xml:space="preserve">Protocole commun. </w:t>
      </w:r>
      <w:r>
        <w:t>Le résultat fonctionnel est contrôlé avant les mesures. Une exécution sert d’échauffement, puis cinq mesures sont réalisées avec EXPLAIN (ANALYZE, BUFFERS). Les statistiques utilisent Execution Time, sans Planning Time.</w:t>
      </w:r>
    </w:p>
    <w:p>
      <w:pPr>
        <w:pStyle w:val="Heading1"/>
      </w:pPr>
      <w:r>
        <w:t>1. Contexte de test</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D9EAF7"/>
          </w:tcPr>
          <w:p>
            <w:pPr>
              <w:spacing w:after="20" w:before="20"/>
            </w:pPr>
            <w:r>
              <w:rPr>
                <w:b/>
                <w:sz w:val="17"/>
              </w:rPr>
              <w:t>Élément</w:t>
            </w:r>
          </w:p>
        </w:tc>
        <w:tc>
          <w:tcPr>
            <w:tcW w:type="dxa" w:w="4968"/>
            <w:shd w:fill="D9EAF7"/>
          </w:tcPr>
          <w:p>
            <w:pPr>
              <w:spacing w:after="20" w:before="20"/>
            </w:pPr>
            <w:r>
              <w:rPr>
                <w:b/>
                <w:sz w:val="17"/>
              </w:rPr>
              <w:t>Valeur</w:t>
            </w:r>
          </w:p>
        </w:tc>
      </w:tr>
      <w:tr>
        <w:trPr>
          <w:cantSplit/>
        </w:trPr>
        <w:tc>
          <w:tcPr>
            <w:tcW w:type="dxa" w:w="4968"/>
            <w:vAlign w:val="center"/>
          </w:tcPr>
          <w:p>
            <w:pPr>
              <w:spacing w:after="20" w:before="20"/>
            </w:pPr>
            <w:r>
              <w:rPr>
                <w:sz w:val="17"/>
              </w:rPr>
              <w:t>PostgreSQL</w:t>
            </w:r>
          </w:p>
        </w:tc>
        <w:tc>
          <w:tcPr>
            <w:tcW w:type="dxa" w:w="4968"/>
            <w:vAlign w:val="center"/>
          </w:tcPr>
          <w:p>
            <w:pPr>
              <w:spacing w:after="20" w:before="20"/>
            </w:pPr>
            <w:r>
              <w:rPr>
                <w:sz w:val="17"/>
              </w:rPr>
              <w:t>18.6 Debian — aarch64 — 64 bits</w:t>
            </w:r>
          </w:p>
        </w:tc>
      </w:tr>
      <w:tr>
        <w:trPr>
          <w:cantSplit/>
        </w:trPr>
        <w:tc>
          <w:tcPr>
            <w:tcW w:type="dxa" w:w="4968"/>
            <w:vAlign w:val="center"/>
          </w:tcPr>
          <w:p>
            <w:pPr>
              <w:spacing w:after="20" w:before="20"/>
            </w:pPr>
            <w:r>
              <w:rPr>
                <w:sz w:val="17"/>
              </w:rPr>
              <w:t>Données</w:t>
            </w:r>
          </w:p>
        </w:tc>
        <w:tc>
          <w:tcPr>
            <w:tcW w:type="dxa" w:w="4968"/>
            <w:vAlign w:val="center"/>
          </w:tcPr>
          <w:p>
            <w:pPr>
              <w:spacing w:after="20" w:before="20"/>
            </w:pPr>
            <w:r>
              <w:rPr>
                <w:sz w:val="17"/>
              </w:rPr>
              <w:t>1 000 clients ; 200 produits ; 100 000 commandes ; 300 000 lignes</w:t>
            </w:r>
          </w:p>
        </w:tc>
      </w:tr>
      <w:tr>
        <w:trPr>
          <w:cantSplit/>
        </w:trPr>
        <w:tc>
          <w:tcPr>
            <w:tcW w:type="dxa" w:w="4968"/>
            <w:vAlign w:val="center"/>
          </w:tcPr>
          <w:p>
            <w:pPr>
              <w:spacing w:after="20" w:before="20"/>
            </w:pPr>
            <w:r>
              <w:rPr>
                <w:sz w:val="17"/>
              </w:rPr>
              <w:t>Mesure</w:t>
            </w:r>
          </w:p>
        </w:tc>
        <w:tc>
          <w:tcPr>
            <w:tcW w:type="dxa" w:w="4968"/>
            <w:vAlign w:val="center"/>
          </w:tcPr>
          <w:p>
            <w:pPr>
              <w:spacing w:after="20" w:before="20"/>
            </w:pPr>
            <w:r>
              <w:rPr>
                <w:sz w:val="17"/>
              </w:rPr>
              <w:t>1 chauffe + 5 exécutions</w:t>
            </w:r>
          </w:p>
        </w:tc>
      </w:tr>
      <w:tr>
        <w:trPr>
          <w:cantSplit/>
        </w:trPr>
        <w:tc>
          <w:tcPr>
            <w:tcW w:type="dxa" w:w="4968"/>
            <w:vAlign w:val="center"/>
          </w:tcPr>
          <w:p>
            <w:pPr>
              <w:spacing w:after="20" w:before="20"/>
            </w:pPr>
            <w:r>
              <w:rPr>
                <w:sz w:val="17"/>
              </w:rPr>
              <w:t>Règle</w:t>
            </w:r>
          </w:p>
        </w:tc>
        <w:tc>
          <w:tcPr>
            <w:tcW w:type="dxa" w:w="4968"/>
            <w:vAlign w:val="center"/>
          </w:tcPr>
          <w:p>
            <w:pPr>
              <w:spacing w:after="20" w:before="20"/>
            </w:pPr>
            <w:r>
              <w:rPr>
                <w:sz w:val="17"/>
              </w:rPr>
              <w:t>Même requête et même résultat lorsque l’on compare un avant/après</w:t>
            </w:r>
          </w:p>
        </w:tc>
      </w:tr>
    </w:tbl>
    <w:p/>
    <w:p>
      <w:pPr>
        <w:pStyle w:val="Heading1"/>
      </w:pPr>
      <w:r>
        <w:t>2. Atelier 1 — Diagnostic initial</w:t>
      </w:r>
    </w:p>
    <w:p>
      <w:pPr>
        <w:pStyle w:val="Heading2"/>
      </w:pPr>
      <w:r>
        <w:t>2.1 Historique du client 42</w:t>
      </w:r>
    </w:p>
    <w:p>
      <w:r>
        <w:t>La première requête sert de point de départ pour l’historique client.</w:t>
      </w:r>
    </w:p>
    <w:p>
      <w:pPr>
        <w:pStyle w:val="SQL"/>
      </w:pPr>
      <w:r>
        <w:t>SELECT id, created_at, statut, total</w:t>
        <w:br/>
        <w:t>FROM shopflow.commandes</w:t>
        <w:br/>
        <w:t>WHERE client_id = 42</w:t>
        <w:br/>
        <w:t>ORDER BY created_at DESC, id DESC</w:t>
        <w:br/>
        <w:t>LIMIT 20;</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D9EAF7"/>
          </w:tcPr>
          <w:p>
            <w:pPr>
              <w:spacing w:after="20" w:before="20"/>
            </w:pPr>
            <w:r>
              <w:rPr>
                <w:b/>
                <w:sz w:val="17"/>
              </w:rPr>
              <w:t>Preuve</w:t>
            </w:r>
          </w:p>
        </w:tc>
        <w:tc>
          <w:tcPr>
            <w:tcW w:type="dxa" w:w="4968"/>
            <w:shd w:fill="D9EAF7"/>
          </w:tcPr>
          <w:p>
            <w:pPr>
              <w:spacing w:after="20" w:before="20"/>
            </w:pPr>
            <w:r>
              <w:rPr>
                <w:b/>
                <w:sz w:val="17"/>
              </w:rPr>
              <w:t>Résultat</w:t>
            </w:r>
          </w:p>
        </w:tc>
      </w:tr>
      <w:tr>
        <w:trPr>
          <w:cantSplit/>
        </w:trPr>
        <w:tc>
          <w:tcPr>
            <w:tcW w:type="dxa" w:w="4968"/>
            <w:vAlign w:val="center"/>
          </w:tcPr>
          <w:p>
            <w:pPr>
              <w:spacing w:after="20" w:before="20"/>
            </w:pPr>
            <w:r>
              <w:rPr>
                <w:sz w:val="17"/>
              </w:rPr>
              <w:t>Résultat fonctionnel</w:t>
            </w:r>
          </w:p>
        </w:tc>
        <w:tc>
          <w:tcPr>
            <w:tcW w:type="dxa" w:w="4968"/>
            <w:vAlign w:val="center"/>
          </w:tcPr>
          <w:p>
            <w:pPr>
              <w:spacing w:after="20" w:before="20"/>
            </w:pPr>
            <w:r>
              <w:rPr>
                <w:sz w:val="17"/>
              </w:rPr>
              <w:t>100 commandes pour le client 42 ; total 47 760,00</w:t>
            </w:r>
          </w:p>
        </w:tc>
      </w:tr>
      <w:tr>
        <w:trPr>
          <w:cantSplit/>
        </w:trPr>
        <w:tc>
          <w:tcPr>
            <w:tcW w:type="dxa" w:w="4968"/>
            <w:vAlign w:val="center"/>
          </w:tcPr>
          <w:p>
            <w:pPr>
              <w:spacing w:after="20" w:before="20"/>
            </w:pPr>
            <w:r>
              <w:rPr>
                <w:sz w:val="17"/>
              </w:rPr>
              <w:t>Temps</w:t>
            </w:r>
          </w:p>
        </w:tc>
        <w:tc>
          <w:tcPr>
            <w:tcW w:type="dxa" w:w="4968"/>
            <w:vAlign w:val="center"/>
          </w:tcPr>
          <w:p>
            <w:pPr>
              <w:spacing w:after="20" w:before="20"/>
            </w:pPr>
            <w:r>
              <w:rPr>
                <w:sz w:val="17"/>
              </w:rPr>
              <w:t>médiane 1,737 ms</w:t>
            </w:r>
          </w:p>
        </w:tc>
      </w:tr>
      <w:tr>
        <w:trPr>
          <w:cantSplit/>
        </w:trPr>
        <w:tc>
          <w:tcPr>
            <w:tcW w:type="dxa" w:w="4968"/>
            <w:vAlign w:val="center"/>
          </w:tcPr>
          <w:p>
            <w:pPr>
              <w:spacing w:after="20" w:before="20"/>
            </w:pPr>
            <w:r>
              <w:rPr>
                <w:sz w:val="17"/>
              </w:rPr>
              <w:t>Travail observé</w:t>
            </w:r>
          </w:p>
        </w:tc>
        <w:tc>
          <w:tcPr>
            <w:tcW w:type="dxa" w:w="4968"/>
            <w:vAlign w:val="center"/>
          </w:tcPr>
          <w:p>
            <w:pPr>
              <w:spacing w:after="20" w:before="20"/>
            </w:pPr>
            <w:r>
              <w:rPr>
                <w:sz w:val="17"/>
              </w:rPr>
              <w:t>100 commandes récupérées puis triées</w:t>
            </w:r>
          </w:p>
        </w:tc>
      </w:tr>
      <w:tr>
        <w:trPr>
          <w:cantSplit/>
        </w:trPr>
        <w:tc>
          <w:tcPr>
            <w:tcW w:type="dxa" w:w="4968"/>
            <w:vAlign w:val="center"/>
          </w:tcPr>
          <w:p>
            <w:pPr>
              <w:spacing w:after="20" w:before="20"/>
            </w:pPr>
            <w:r>
              <w:rPr>
                <w:sz w:val="17"/>
              </w:rPr>
              <w:t>Lecture</w:t>
            </w:r>
          </w:p>
        </w:tc>
        <w:tc>
          <w:tcPr>
            <w:tcW w:type="dxa" w:w="4968"/>
            <w:vAlign w:val="center"/>
          </w:tcPr>
          <w:p>
            <w:pPr>
              <w:spacing w:after="20" w:before="20"/>
            </w:pPr>
            <w:r>
              <w:rPr>
                <w:sz w:val="17"/>
              </w:rPr>
              <w:t>90 blocs mémoire consultés</w:t>
            </w:r>
          </w:p>
        </w:tc>
      </w:tr>
    </w:tbl>
    <w:p/>
    <w:p>
      <w:r>
        <w:rPr>
          <w:b/>
        </w:rPr>
        <w:t xml:space="preserve">Décision : </w:t>
      </w:r>
      <w:r>
        <w:t>conserver cette mesure comme référence pour l’Atelier 3.</w:t>
      </w:r>
    </w:p>
    <w:p>
      <w:pPr>
        <w:pStyle w:val="Heading2"/>
      </w:pPr>
      <w:r>
        <w:t>2.2 Total des commandes par statut</w:t>
      </w:r>
    </w:p>
    <w:p>
      <w:pPr>
        <w:pStyle w:val="SQL"/>
      </w:pPr>
      <w:r>
        <w:t>SELECT statut, COUNT(*) AS nb_commandes, SUM(total) AS total</w:t>
        <w:br/>
        <w:t>FROM shopflow.commandes</w:t>
        <w:br/>
        <w:t>GROUP BY statut;</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D9EAF7"/>
          </w:tcPr>
          <w:p>
            <w:pPr>
              <w:spacing w:after="20" w:before="20"/>
            </w:pPr>
            <w:r>
              <w:rPr>
                <w:b/>
                <w:sz w:val="17"/>
              </w:rPr>
              <w:t>Preuve</w:t>
            </w:r>
          </w:p>
        </w:tc>
        <w:tc>
          <w:tcPr>
            <w:tcW w:type="dxa" w:w="4968"/>
            <w:shd w:fill="D9EAF7"/>
          </w:tcPr>
          <w:p>
            <w:pPr>
              <w:spacing w:after="20" w:before="20"/>
            </w:pPr>
            <w:r>
              <w:rPr>
                <w:b/>
                <w:sz w:val="17"/>
              </w:rPr>
              <w:t>Résultat</w:t>
            </w:r>
          </w:p>
        </w:tc>
      </w:tr>
      <w:tr>
        <w:trPr>
          <w:cantSplit/>
        </w:trPr>
        <w:tc>
          <w:tcPr>
            <w:tcW w:type="dxa" w:w="4968"/>
            <w:vAlign w:val="center"/>
          </w:tcPr>
          <w:p>
            <w:pPr>
              <w:spacing w:after="20" w:before="20"/>
            </w:pPr>
            <w:r>
              <w:rPr>
                <w:sz w:val="17"/>
              </w:rPr>
              <w:t>Résultat</w:t>
            </w:r>
          </w:p>
        </w:tc>
        <w:tc>
          <w:tcPr>
            <w:tcW w:type="dxa" w:w="4968"/>
            <w:vAlign w:val="center"/>
          </w:tcPr>
          <w:p>
            <w:pPr>
              <w:spacing w:after="20" w:before="20"/>
            </w:pPr>
            <w:r>
              <w:rPr>
                <w:sz w:val="17"/>
              </w:rPr>
              <w:t>100 000 commandes réparties en 3 statuts</w:t>
            </w:r>
          </w:p>
        </w:tc>
      </w:tr>
      <w:tr>
        <w:trPr>
          <w:cantSplit/>
        </w:trPr>
        <w:tc>
          <w:tcPr>
            <w:tcW w:type="dxa" w:w="4968"/>
            <w:vAlign w:val="center"/>
          </w:tcPr>
          <w:p>
            <w:pPr>
              <w:spacing w:after="20" w:before="20"/>
            </w:pPr>
            <w:r>
              <w:rPr>
                <w:sz w:val="17"/>
              </w:rPr>
              <w:t>Montant total</w:t>
            </w:r>
          </w:p>
        </w:tc>
        <w:tc>
          <w:tcPr>
            <w:tcW w:type="dxa" w:w="4968"/>
            <w:vAlign w:val="center"/>
          </w:tcPr>
          <w:p>
            <w:pPr>
              <w:spacing w:after="20" w:before="20"/>
            </w:pPr>
            <w:r>
              <w:rPr>
                <w:sz w:val="17"/>
              </w:rPr>
              <w:t>29 775 001,25</w:t>
            </w:r>
          </w:p>
        </w:tc>
      </w:tr>
      <w:tr>
        <w:trPr>
          <w:cantSplit/>
        </w:trPr>
        <w:tc>
          <w:tcPr>
            <w:tcW w:type="dxa" w:w="4968"/>
            <w:vAlign w:val="center"/>
          </w:tcPr>
          <w:p>
            <w:pPr>
              <w:spacing w:after="20" w:before="20"/>
            </w:pPr>
            <w:r>
              <w:rPr>
                <w:sz w:val="17"/>
              </w:rPr>
              <w:t>Temps</w:t>
            </w:r>
          </w:p>
        </w:tc>
        <w:tc>
          <w:tcPr>
            <w:tcW w:type="dxa" w:w="4968"/>
            <w:vAlign w:val="center"/>
          </w:tcPr>
          <w:p>
            <w:pPr>
              <w:spacing w:after="20" w:before="20"/>
            </w:pPr>
            <w:r>
              <w:rPr>
                <w:sz w:val="17"/>
              </w:rPr>
              <w:t>médiane 48,577 ms</w:t>
            </w:r>
          </w:p>
        </w:tc>
      </w:tr>
      <w:tr>
        <w:trPr>
          <w:cantSplit/>
        </w:trPr>
        <w:tc>
          <w:tcPr>
            <w:tcW w:type="dxa" w:w="4968"/>
            <w:vAlign w:val="center"/>
          </w:tcPr>
          <w:p>
            <w:pPr>
              <w:spacing w:after="20" w:before="20"/>
            </w:pPr>
            <w:r>
              <w:rPr>
                <w:sz w:val="17"/>
              </w:rPr>
              <w:t>Explication</w:t>
            </w:r>
          </w:p>
        </w:tc>
        <w:tc>
          <w:tcPr>
            <w:tcW w:type="dxa" w:w="4968"/>
            <w:vAlign w:val="center"/>
          </w:tcPr>
          <w:p>
            <w:pPr>
              <w:spacing w:after="20" w:before="20"/>
            </w:pPr>
            <w:r>
              <w:rPr>
                <w:sz w:val="17"/>
              </w:rPr>
              <w:t>toutes les commandes doivent être lues avant de calculer les 3 résultats</w:t>
            </w:r>
          </w:p>
        </w:tc>
      </w:tr>
    </w:tbl>
    <w:p/>
    <w:p>
      <w:r>
        <w:rPr>
          <w:b/>
        </w:rPr>
        <w:t xml:space="preserve">Décision : </w:t>
      </w:r>
      <w:r>
        <w:t>aucune optimisation appliquée ici : cette partie sert uniquement à établir le diagnostic initial.</w:t>
      </w:r>
    </w:p>
    <w:p>
      <w:pPr>
        <w:pStyle w:val="Heading1"/>
      </w:pPr>
      <w:r>
        <w:t>3. Atelier 2 — Réécriture SQL</w:t>
      </w:r>
    </w:p>
    <w:p>
      <w:pPr>
        <w:pStyle w:val="Heading2"/>
      </w:pPr>
      <w:r>
        <w:t>3.1 Remplacer JOIN + DISTINCT par EXISTS</w:t>
      </w:r>
    </w:p>
    <w:p>
      <w:r>
        <w:t>Le besoin est de savoir si le client possède au moins une commande. La jointure produit 100 lignes pour le client 42, puis DISTINCT doit les réduire à une seule.</w:t>
      </w:r>
    </w:p>
    <w:p>
      <w:pPr>
        <w:pStyle w:val="SQL"/>
      </w:pPr>
      <w:r>
        <w:t>-- Avant</w:t>
        <w:br/>
        <w:t>SELECT DISTINCT c.id, c.nom</w:t>
        <w:br/>
        <w:t>FROM shopflow.clients c</w:t>
        <w:br/>
        <w:t>JOIN shopflow.commandes o ON o.client_id = c.id</w:t>
        <w:br/>
        <w:t>WHERE c.id = 42;</w:t>
        <w:br/>
        <w:br/>
        <w:t>-- Après</w:t>
        <w:br/>
        <w:t>SELECT c.id, c.nom</w:t>
        <w:br/>
        <w:t>FROM shopflow.clients c</w:t>
        <w:br/>
        <w:t>WHERE c.id = 42</w:t>
        <w:br/>
        <w:t xml:space="preserve">  AND EXISTS (</w:t>
        <w:br/>
        <w:t xml:space="preserve">    SELECT 1</w:t>
        <w:br/>
        <w:t xml:space="preserve">    FROM shopflow.commandes o</w:t>
        <w:br/>
        <w:t xml:space="preserve">    WHERE o.client_id = c.id</w:t>
        <w:br/>
        <w:t xml:space="preserve">  );</w:t>
      </w:r>
    </w:p>
    <w:tbl>
      <w:tblPr>
        <w:tblStyle w:val="TableGrid"/>
        <w:tblW w:type="auto" w:w="0"/>
        <w:jc w:val="center"/>
        <w:tblLook w:firstColumn="1" w:firstRow="1" w:lastColumn="0" w:lastRow="0" w:noHBand="0" w:noVBand="1" w:val="04A0"/>
      </w:tblPr>
      <w:tblGrid>
        <w:gridCol w:w="2484"/>
        <w:gridCol w:w="2484"/>
        <w:gridCol w:w="2484"/>
        <w:gridCol w:w="2484"/>
      </w:tblGrid>
      <w:tr>
        <w:trPr>
          <w:cantSplit/>
        </w:trPr>
        <w:tc>
          <w:tcPr>
            <w:tcW w:type="dxa" w:w="2484"/>
            <w:shd w:fill="D9EAF7"/>
          </w:tcPr>
          <w:p>
            <w:pPr>
              <w:spacing w:after="20" w:before="20"/>
            </w:pPr>
            <w:r>
              <w:rPr>
                <w:b/>
                <w:sz w:val="17"/>
              </w:rPr>
              <w:t>Version</w:t>
            </w:r>
          </w:p>
        </w:tc>
        <w:tc>
          <w:tcPr>
            <w:tcW w:type="dxa" w:w="2484"/>
            <w:shd w:fill="D9EAF7"/>
          </w:tcPr>
          <w:p>
            <w:pPr>
              <w:spacing w:after="20" w:before="20"/>
            </w:pPr>
            <w:r>
              <w:rPr>
                <w:b/>
                <w:sz w:val="17"/>
              </w:rPr>
              <w:t>Résultat</w:t>
            </w:r>
          </w:p>
        </w:tc>
        <w:tc>
          <w:tcPr>
            <w:tcW w:type="dxa" w:w="2484"/>
            <w:shd w:fill="D9EAF7"/>
          </w:tcPr>
          <w:p>
            <w:pPr>
              <w:spacing w:after="20" w:before="20"/>
            </w:pPr>
            <w:r>
              <w:rPr>
                <w:b/>
                <w:sz w:val="17"/>
              </w:rPr>
              <w:t>Moyenne</w:t>
            </w:r>
          </w:p>
        </w:tc>
        <w:tc>
          <w:tcPr>
            <w:tcW w:type="dxa" w:w="2484"/>
            <w:shd w:fill="D9EAF7"/>
          </w:tcPr>
          <w:p>
            <w:pPr>
              <w:spacing w:after="20" w:before="20"/>
            </w:pPr>
            <w:r>
              <w:rPr>
                <w:b/>
                <w:sz w:val="17"/>
              </w:rPr>
              <w:t>Médiane</w:t>
            </w:r>
          </w:p>
        </w:tc>
      </w:tr>
      <w:tr>
        <w:trPr>
          <w:cantSplit/>
        </w:trPr>
        <w:tc>
          <w:tcPr>
            <w:tcW w:type="dxa" w:w="2484"/>
            <w:vAlign w:val="center"/>
          </w:tcPr>
          <w:p>
            <w:pPr>
              <w:spacing w:after="20" w:before="20"/>
            </w:pPr>
            <w:r>
              <w:rPr>
                <w:sz w:val="17"/>
              </w:rPr>
              <w:t>JOIN + DISTINCT</w:t>
            </w:r>
          </w:p>
        </w:tc>
        <w:tc>
          <w:tcPr>
            <w:tcW w:type="dxa" w:w="2484"/>
            <w:vAlign w:val="center"/>
          </w:tcPr>
          <w:p>
            <w:pPr>
              <w:spacing w:after="20" w:before="20"/>
            </w:pPr>
            <w:r>
              <w:rPr>
                <w:sz w:val="17"/>
              </w:rPr>
              <w:t>42, Client 42</w:t>
            </w:r>
          </w:p>
        </w:tc>
        <w:tc>
          <w:tcPr>
            <w:tcW w:type="dxa" w:w="2484"/>
            <w:vAlign w:val="center"/>
          </w:tcPr>
          <w:p>
            <w:pPr>
              <w:spacing w:after="20" w:before="20"/>
            </w:pPr>
            <w:r>
              <w:rPr>
                <w:sz w:val="17"/>
              </w:rPr>
              <w:t>0,445 ms</w:t>
            </w:r>
          </w:p>
        </w:tc>
        <w:tc>
          <w:tcPr>
            <w:tcW w:type="dxa" w:w="2484"/>
            <w:vAlign w:val="center"/>
          </w:tcPr>
          <w:p>
            <w:pPr>
              <w:spacing w:after="20" w:before="20"/>
            </w:pPr>
            <w:r>
              <w:rPr>
                <w:sz w:val="17"/>
              </w:rPr>
              <w:t>0,366 ms</w:t>
            </w:r>
          </w:p>
        </w:tc>
      </w:tr>
      <w:tr>
        <w:trPr>
          <w:cantSplit/>
        </w:trPr>
        <w:tc>
          <w:tcPr>
            <w:tcW w:type="dxa" w:w="2484"/>
            <w:vAlign w:val="center"/>
          </w:tcPr>
          <w:p>
            <w:pPr>
              <w:spacing w:after="20" w:before="20"/>
            </w:pPr>
            <w:r>
              <w:rPr>
                <w:sz w:val="17"/>
              </w:rPr>
              <w:t>EXISTS</w:t>
            </w:r>
          </w:p>
        </w:tc>
        <w:tc>
          <w:tcPr>
            <w:tcW w:type="dxa" w:w="2484"/>
            <w:vAlign w:val="center"/>
          </w:tcPr>
          <w:p>
            <w:pPr>
              <w:spacing w:after="20" w:before="20"/>
            </w:pPr>
            <w:r>
              <w:rPr>
                <w:sz w:val="17"/>
              </w:rPr>
              <w:t>42, Client 42</w:t>
            </w:r>
          </w:p>
        </w:tc>
        <w:tc>
          <w:tcPr>
            <w:tcW w:type="dxa" w:w="2484"/>
            <w:vAlign w:val="center"/>
          </w:tcPr>
          <w:p>
            <w:pPr>
              <w:spacing w:after="20" w:before="20"/>
            </w:pPr>
            <w:r>
              <w:rPr>
                <w:sz w:val="17"/>
              </w:rPr>
              <w:t>0,371 ms</w:t>
            </w:r>
          </w:p>
        </w:tc>
        <w:tc>
          <w:tcPr>
            <w:tcW w:type="dxa" w:w="2484"/>
            <w:vAlign w:val="center"/>
          </w:tcPr>
          <w:p>
            <w:pPr>
              <w:spacing w:after="20" w:before="20"/>
            </w:pPr>
            <w:r>
              <w:rPr>
                <w:sz w:val="17"/>
              </w:rPr>
              <w:t>0,384 ms</w:t>
            </w:r>
          </w:p>
        </w:tc>
      </w:tr>
    </w:tbl>
    <w:p/>
    <w:p>
      <w:r>
        <w:t>Les temps sont proches et la médiane n’est pas meilleure avec EXISTS. Son intérêt principal est donc la clarté : la requête exprime directement « le client possède-t-il une commande ? » et évite de créer 100 lignes intermédiaires.</w:t>
      </w:r>
    </w:p>
    <w:p>
      <w:r>
        <w:rPr>
          <w:b/>
        </w:rPr>
        <w:t xml:space="preserve">Décision : </w:t>
      </w:r>
      <w:r>
        <w:t>retenir EXISTS pour la logique de la requête, sans annoncer un gain de performance certain.</w:t>
      </w:r>
    </w:p>
    <w:p>
      <w:pPr>
        <w:pStyle w:val="Heading2"/>
      </w:pPr>
      <w:r>
        <w:t>3.2 Corriger le calcul du total d’une commande</w:t>
      </w:r>
    </w:p>
    <w:p>
      <w:r>
        <w:t>Avec la commande 42, additionner o.total après la jointure donne 720,00 au lieu de 240,00, car la commande possède trois lignes.</w:t>
      </w:r>
    </w:p>
    <w:p>
      <w:pPr>
        <w:pStyle w:val="SQL"/>
      </w:pPr>
      <w:r>
        <w:t>SELECT o.id,</w:t>
        <w:br/>
        <w:t xml:space="preserve">       o.total,</w:t>
        <w:br/>
        <w:t xml:space="preserve">       SUM(l.qte * l.prix_unitaire) AS total_calcule</w:t>
        <w:br/>
        <w:t>FROM shopflow.commandes o</w:t>
        <w:br/>
        <w:t>LEFT JOIN shopflow.lignes l ON l.commande_id = o.id</w:t>
        <w:br/>
        <w:t>WHERE o.id = 42</w:t>
        <w:br/>
        <w:t>GROUP BY o.id, o.total;</w:t>
      </w:r>
    </w:p>
    <w:tbl>
      <w:tblPr>
        <w:tblStyle w:val="TableGrid"/>
        <w:tblW w:type="auto" w:w="0"/>
        <w:jc w:val="center"/>
        <w:tblLook w:firstColumn="1" w:firstRow="1" w:lastColumn="0" w:lastRow="0" w:noHBand="0" w:noVBand="1" w:val="04A0"/>
      </w:tblPr>
      <w:tblGrid>
        <w:gridCol w:w="2484"/>
        <w:gridCol w:w="2484"/>
        <w:gridCol w:w="2484"/>
        <w:gridCol w:w="2484"/>
      </w:tblGrid>
      <w:tr>
        <w:trPr>
          <w:cantSplit/>
        </w:trPr>
        <w:tc>
          <w:tcPr>
            <w:tcW w:type="dxa" w:w="2484"/>
            <w:shd w:fill="D9EAF7"/>
          </w:tcPr>
          <w:p>
            <w:pPr>
              <w:spacing w:after="20" w:before="20"/>
            </w:pPr>
            <w:r>
              <w:rPr>
                <w:b/>
                <w:sz w:val="17"/>
              </w:rPr>
              <w:t>Version correcte</w:t>
            </w:r>
          </w:p>
        </w:tc>
        <w:tc>
          <w:tcPr>
            <w:tcW w:type="dxa" w:w="2484"/>
            <w:shd w:fill="D9EAF7"/>
          </w:tcPr>
          <w:p>
            <w:pPr>
              <w:spacing w:after="20" w:before="20"/>
            </w:pPr>
            <w:r>
              <w:rPr>
                <w:b/>
                <w:sz w:val="17"/>
              </w:rPr>
              <w:t>Résultat</w:t>
            </w:r>
          </w:p>
        </w:tc>
        <w:tc>
          <w:tcPr>
            <w:tcW w:type="dxa" w:w="2484"/>
            <w:shd w:fill="D9EAF7"/>
          </w:tcPr>
          <w:p>
            <w:pPr>
              <w:spacing w:after="20" w:before="20"/>
            </w:pPr>
            <w:r>
              <w:rPr>
                <w:b/>
                <w:sz w:val="17"/>
              </w:rPr>
              <w:t>Moyenne</w:t>
            </w:r>
          </w:p>
        </w:tc>
        <w:tc>
          <w:tcPr>
            <w:tcW w:type="dxa" w:w="2484"/>
            <w:shd w:fill="D9EAF7"/>
          </w:tcPr>
          <w:p>
            <w:pPr>
              <w:spacing w:after="20" w:before="20"/>
            </w:pPr>
            <w:r>
              <w:rPr>
                <w:b/>
                <w:sz w:val="17"/>
              </w:rPr>
              <w:t>Médiane</w:t>
            </w:r>
          </w:p>
        </w:tc>
      </w:tr>
      <w:tr>
        <w:trPr>
          <w:cantSplit/>
        </w:trPr>
        <w:tc>
          <w:tcPr>
            <w:tcW w:type="dxa" w:w="2484"/>
            <w:vAlign w:val="center"/>
          </w:tcPr>
          <w:p>
            <w:pPr>
              <w:spacing w:after="20" w:before="20"/>
            </w:pPr>
            <w:r>
              <w:rPr>
                <w:sz w:val="17"/>
              </w:rPr>
              <w:t>Calcul après jointure</w:t>
            </w:r>
          </w:p>
        </w:tc>
        <w:tc>
          <w:tcPr>
            <w:tcW w:type="dxa" w:w="2484"/>
            <w:vAlign w:val="center"/>
          </w:tcPr>
          <w:p>
            <w:pPr>
              <w:spacing w:after="20" w:before="20"/>
            </w:pPr>
            <w:r>
              <w:rPr>
                <w:sz w:val="17"/>
              </w:rPr>
              <w:t>240,00</w:t>
            </w:r>
          </w:p>
        </w:tc>
        <w:tc>
          <w:tcPr>
            <w:tcW w:type="dxa" w:w="2484"/>
            <w:vAlign w:val="center"/>
          </w:tcPr>
          <w:p>
            <w:pPr>
              <w:spacing w:after="20" w:before="20"/>
            </w:pPr>
            <w:r>
              <w:rPr>
                <w:sz w:val="17"/>
              </w:rPr>
              <w:t>0,732 ms</w:t>
            </w:r>
          </w:p>
        </w:tc>
        <w:tc>
          <w:tcPr>
            <w:tcW w:type="dxa" w:w="2484"/>
            <w:vAlign w:val="center"/>
          </w:tcPr>
          <w:p>
            <w:pPr>
              <w:spacing w:after="20" w:before="20"/>
            </w:pPr>
            <w:r>
              <w:rPr>
                <w:sz w:val="17"/>
              </w:rPr>
              <w:t>0,609 ms</w:t>
            </w:r>
          </w:p>
        </w:tc>
      </w:tr>
      <w:tr>
        <w:trPr>
          <w:cantSplit/>
        </w:trPr>
        <w:tc>
          <w:tcPr>
            <w:tcW w:type="dxa" w:w="2484"/>
            <w:vAlign w:val="center"/>
          </w:tcPr>
          <w:p>
            <w:pPr>
              <w:spacing w:after="20" w:before="20"/>
            </w:pPr>
            <w:r>
              <w:rPr>
                <w:sz w:val="17"/>
              </w:rPr>
              <w:t>Lignes regroupées avant jointure</w:t>
            </w:r>
          </w:p>
        </w:tc>
        <w:tc>
          <w:tcPr>
            <w:tcW w:type="dxa" w:w="2484"/>
            <w:vAlign w:val="center"/>
          </w:tcPr>
          <w:p>
            <w:pPr>
              <w:spacing w:after="20" w:before="20"/>
            </w:pPr>
            <w:r>
              <w:rPr>
                <w:sz w:val="17"/>
              </w:rPr>
              <w:t>240,00</w:t>
            </w:r>
          </w:p>
        </w:tc>
        <w:tc>
          <w:tcPr>
            <w:tcW w:type="dxa" w:w="2484"/>
            <w:vAlign w:val="center"/>
          </w:tcPr>
          <w:p>
            <w:pPr>
              <w:spacing w:after="20" w:before="20"/>
            </w:pPr>
            <w:r>
              <w:rPr>
                <w:sz w:val="17"/>
              </w:rPr>
              <w:t>0,622 ms</w:t>
            </w:r>
          </w:p>
        </w:tc>
        <w:tc>
          <w:tcPr>
            <w:tcW w:type="dxa" w:w="2484"/>
            <w:vAlign w:val="center"/>
          </w:tcPr>
          <w:p>
            <w:pPr>
              <w:spacing w:after="20" w:before="20"/>
            </w:pPr>
            <w:r>
              <w:rPr>
                <w:sz w:val="17"/>
              </w:rPr>
              <w:t>0,575 ms</w:t>
            </w:r>
          </w:p>
        </w:tc>
      </w:tr>
    </w:tbl>
    <w:p/>
    <w:p>
      <w:r>
        <w:t>La seconde version est légèrement plus rapide sur ce test et rend surtout la granularité plus claire. Le jeu actuel ne contient aucune commande sans ligne.</w:t>
      </w:r>
    </w:p>
    <w:p>
      <w:r>
        <w:rPr>
          <w:b/>
        </w:rPr>
        <w:t xml:space="preserve">Décision : </w:t>
      </w:r>
      <w:r>
        <w:t>retenir la préagrégation lorsque le besoin impose un total par commande.</w:t>
      </w:r>
    </w:p>
    <w:p>
      <w:pPr>
        <w:pStyle w:val="Heading1"/>
      </w:pPr>
      <w:r>
        <w:t>4. Atelier 3 — Historique client et index</w:t>
      </w:r>
    </w:p>
    <w:p>
      <w:r>
        <w:t>La même requête est conservée pendant toute l’expérience. Seule la stratégie d’indexation change.</w:t>
      </w:r>
    </w:p>
    <w:p>
      <w:pPr>
        <w:pStyle w:val="SQL"/>
      </w:pPr>
      <w:r>
        <w:t>SELECT id, created_at, statut, total</w:t>
        <w:br/>
        <w:t>FROM shopflow.commandes</w:t>
        <w:br/>
        <w:t>WHERE client_id = 42</w:t>
        <w:br/>
        <w:t>ORDER BY created_at DESC, id DESC</w:t>
        <w:br/>
        <w:t>LIMIT 20;</w:t>
      </w:r>
    </w:p>
    <w:tbl>
      <w:tblPr>
        <w:tblStyle w:val="TableGrid"/>
        <w:tblW w:type="auto" w:w="0"/>
        <w:jc w:val="center"/>
        <w:tblLook w:firstColumn="1" w:firstRow="1" w:lastColumn="0" w:lastRow="0" w:noHBand="0" w:noVBand="1" w:val="04A0"/>
      </w:tblPr>
      <w:tblGrid>
        <w:gridCol w:w="2484"/>
        <w:gridCol w:w="2484"/>
        <w:gridCol w:w="2484"/>
        <w:gridCol w:w="2484"/>
      </w:tblGrid>
      <w:tr>
        <w:trPr>
          <w:cantSplit/>
        </w:trPr>
        <w:tc>
          <w:tcPr>
            <w:tcW w:type="dxa" w:w="2484"/>
            <w:shd w:fill="D9EAF7"/>
          </w:tcPr>
          <w:p>
            <w:pPr>
              <w:spacing w:after="20" w:before="20"/>
            </w:pPr>
            <w:r>
              <w:rPr>
                <w:b/>
                <w:sz w:val="17"/>
              </w:rPr>
              <w:t>État</w:t>
            </w:r>
          </w:p>
        </w:tc>
        <w:tc>
          <w:tcPr>
            <w:tcW w:type="dxa" w:w="2484"/>
            <w:shd w:fill="D9EAF7"/>
          </w:tcPr>
          <w:p>
            <w:pPr>
              <w:spacing w:after="20" w:before="20"/>
            </w:pPr>
            <w:r>
              <w:rPr>
                <w:b/>
                <w:sz w:val="17"/>
              </w:rPr>
              <w:t>Médiane</w:t>
            </w:r>
          </w:p>
        </w:tc>
        <w:tc>
          <w:tcPr>
            <w:tcW w:type="dxa" w:w="2484"/>
            <w:shd w:fill="D9EAF7"/>
          </w:tcPr>
          <w:p>
            <w:pPr>
              <w:spacing w:after="20" w:before="20"/>
            </w:pPr>
            <w:r>
              <w:rPr>
                <w:b/>
                <w:sz w:val="17"/>
              </w:rPr>
              <w:t>Blocs lus</w:t>
            </w:r>
          </w:p>
        </w:tc>
        <w:tc>
          <w:tcPr>
            <w:tcW w:type="dxa" w:w="2484"/>
            <w:shd w:fill="D9EAF7"/>
          </w:tcPr>
          <w:p>
            <w:pPr>
              <w:spacing w:after="20" w:before="20"/>
            </w:pPr>
            <w:r>
              <w:rPr>
                <w:b/>
                <w:sz w:val="17"/>
              </w:rPr>
              <w:t>Ce qui change</w:t>
            </w:r>
          </w:p>
        </w:tc>
      </w:tr>
      <w:tr>
        <w:trPr>
          <w:cantSplit/>
        </w:trPr>
        <w:tc>
          <w:tcPr>
            <w:tcW w:type="dxa" w:w="2484"/>
            <w:vAlign w:val="center"/>
          </w:tcPr>
          <w:p>
            <w:pPr>
              <w:spacing w:after="20" w:before="20"/>
            </w:pPr>
            <w:r>
              <w:rPr>
                <w:sz w:val="17"/>
              </w:rPr>
              <w:t>Initial</w:t>
            </w:r>
          </w:p>
        </w:tc>
        <w:tc>
          <w:tcPr>
            <w:tcW w:type="dxa" w:w="2484"/>
            <w:vAlign w:val="center"/>
          </w:tcPr>
          <w:p>
            <w:pPr>
              <w:spacing w:after="20" w:before="20"/>
            </w:pPr>
            <w:r>
              <w:rPr>
                <w:sz w:val="17"/>
              </w:rPr>
              <w:t>1,061 ms</w:t>
            </w:r>
          </w:p>
        </w:tc>
        <w:tc>
          <w:tcPr>
            <w:tcW w:type="dxa" w:w="2484"/>
            <w:vAlign w:val="center"/>
          </w:tcPr>
          <w:p>
            <w:pPr>
              <w:spacing w:after="20" w:before="20"/>
            </w:pPr>
            <w:r>
              <w:rPr>
                <w:sz w:val="17"/>
              </w:rPr>
              <w:t>90</w:t>
            </w:r>
          </w:p>
        </w:tc>
        <w:tc>
          <w:tcPr>
            <w:tcW w:type="dxa" w:w="2484"/>
            <w:vAlign w:val="center"/>
          </w:tcPr>
          <w:p>
            <w:pPr>
              <w:spacing w:after="20" w:before="20"/>
            </w:pPr>
            <w:r>
              <w:rPr>
                <w:sz w:val="17"/>
              </w:rPr>
              <w:t>100 lignes récupérées puis triées</w:t>
            </w:r>
          </w:p>
        </w:tc>
      </w:tr>
      <w:tr>
        <w:trPr>
          <w:cantSplit/>
        </w:trPr>
        <w:tc>
          <w:tcPr>
            <w:tcW w:type="dxa" w:w="2484"/>
            <w:vAlign w:val="center"/>
          </w:tcPr>
          <w:p>
            <w:pPr>
              <w:spacing w:after="20" w:before="20"/>
            </w:pPr>
            <w:r>
              <w:rPr>
                <w:sz w:val="17"/>
              </w:rPr>
              <w:t>Index simple</w:t>
            </w:r>
          </w:p>
        </w:tc>
        <w:tc>
          <w:tcPr>
            <w:tcW w:type="dxa" w:w="2484"/>
            <w:vAlign w:val="center"/>
          </w:tcPr>
          <w:p>
            <w:pPr>
              <w:spacing w:after="20" w:before="20"/>
            </w:pPr>
            <w:r>
              <w:rPr>
                <w:sz w:val="17"/>
              </w:rPr>
              <w:t>1,989 ms</w:t>
            </w:r>
          </w:p>
        </w:tc>
        <w:tc>
          <w:tcPr>
            <w:tcW w:type="dxa" w:w="2484"/>
            <w:vAlign w:val="center"/>
          </w:tcPr>
          <w:p>
            <w:pPr>
              <w:spacing w:after="20" w:before="20"/>
            </w:pPr>
            <w:r>
              <w:rPr>
                <w:sz w:val="17"/>
              </w:rPr>
              <w:t>90</w:t>
            </w:r>
          </w:p>
        </w:tc>
        <w:tc>
          <w:tcPr>
            <w:tcW w:type="dxa" w:w="2484"/>
            <w:vAlign w:val="center"/>
          </w:tcPr>
          <w:p>
            <w:pPr>
              <w:spacing w:after="20" w:before="20"/>
            </w:pPr>
            <w:r>
              <w:rPr>
                <w:sz w:val="17"/>
              </w:rPr>
              <w:t>aucun travail supprimé</w:t>
            </w:r>
          </w:p>
        </w:tc>
      </w:tr>
      <w:tr>
        <w:trPr>
          <w:cantSplit/>
        </w:trPr>
        <w:tc>
          <w:tcPr>
            <w:tcW w:type="dxa" w:w="2484"/>
            <w:vAlign w:val="center"/>
          </w:tcPr>
          <w:p>
            <w:pPr>
              <w:spacing w:after="20" w:before="20"/>
            </w:pPr>
            <w:r>
              <w:rPr>
                <w:sz w:val="17"/>
              </w:rPr>
              <w:t>Index composé</w:t>
            </w:r>
          </w:p>
        </w:tc>
        <w:tc>
          <w:tcPr>
            <w:tcW w:type="dxa" w:w="2484"/>
            <w:vAlign w:val="center"/>
          </w:tcPr>
          <w:p>
            <w:pPr>
              <w:spacing w:after="20" w:before="20"/>
            </w:pPr>
            <w:r>
              <w:rPr>
                <w:sz w:val="17"/>
              </w:rPr>
              <w:t>0,496 ms</w:t>
            </w:r>
          </w:p>
        </w:tc>
        <w:tc>
          <w:tcPr>
            <w:tcW w:type="dxa" w:w="2484"/>
            <w:vAlign w:val="center"/>
          </w:tcPr>
          <w:p>
            <w:pPr>
              <w:spacing w:after="20" w:before="20"/>
            </w:pPr>
            <w:r>
              <w:rPr>
                <w:sz w:val="17"/>
              </w:rPr>
              <w:t>23</w:t>
            </w:r>
          </w:p>
        </w:tc>
        <w:tc>
          <w:tcPr>
            <w:tcW w:type="dxa" w:w="2484"/>
            <w:vAlign w:val="center"/>
          </w:tcPr>
          <w:p>
            <w:pPr>
              <w:spacing w:after="20" w:before="20"/>
            </w:pPr>
            <w:r>
              <w:rPr>
                <w:sz w:val="17"/>
              </w:rPr>
              <w:t>l’ordre est déjà disponible ; plus de tri</w:t>
            </w:r>
          </w:p>
        </w:tc>
      </w:tr>
      <w:tr>
        <w:trPr>
          <w:cantSplit/>
        </w:trPr>
        <w:tc>
          <w:tcPr>
            <w:tcW w:type="dxa" w:w="2484"/>
            <w:vAlign w:val="center"/>
          </w:tcPr>
          <w:p>
            <w:pPr>
              <w:spacing w:after="20" w:before="20"/>
            </w:pPr>
            <w:r>
              <w:rPr>
                <w:sz w:val="17"/>
              </w:rPr>
              <w:t>Index couvrant</w:t>
            </w:r>
          </w:p>
        </w:tc>
        <w:tc>
          <w:tcPr>
            <w:tcW w:type="dxa" w:w="2484"/>
            <w:vAlign w:val="center"/>
          </w:tcPr>
          <w:p>
            <w:pPr>
              <w:spacing w:after="20" w:before="20"/>
            </w:pPr>
            <w:r>
              <w:rPr>
                <w:sz w:val="17"/>
              </w:rPr>
              <w:t>0,234 ms</w:t>
            </w:r>
          </w:p>
        </w:tc>
        <w:tc>
          <w:tcPr>
            <w:tcW w:type="dxa" w:w="2484"/>
            <w:vAlign w:val="center"/>
          </w:tcPr>
          <w:p>
            <w:pPr>
              <w:spacing w:after="20" w:before="20"/>
            </w:pPr>
            <w:r>
              <w:rPr>
                <w:sz w:val="17"/>
              </w:rPr>
              <w:t>4</w:t>
            </w:r>
          </w:p>
        </w:tc>
        <w:tc>
          <w:tcPr>
            <w:tcW w:type="dxa" w:w="2484"/>
            <w:vAlign w:val="center"/>
          </w:tcPr>
          <w:p>
            <w:pPr>
              <w:spacing w:after="20" w:before="20"/>
            </w:pPr>
            <w:r>
              <w:rPr>
                <w:sz w:val="17"/>
              </w:rPr>
              <w:t>les données demandées sont directement dans l’index</w:t>
            </w:r>
          </w:p>
        </w:tc>
      </w:tr>
    </w:tbl>
    <w:p/>
    <w:p>
      <w:r>
        <w:t>L’index simple est inutile pour cette requête, car l’index déjà présent commence aussi par client_id. L’index composé évite le tri. L’index couvrant va plus loin : il fournit également statut et total, ce qui réduit fortement les lectures.</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D9EAF7"/>
          </w:tcPr>
          <w:p>
            <w:pPr>
              <w:spacing w:after="20" w:before="20"/>
            </w:pPr>
            <w:r>
              <w:rPr>
                <w:b/>
                <w:sz w:val="17"/>
              </w:rPr>
              <w:t>Index</w:t>
            </w:r>
          </w:p>
        </w:tc>
        <w:tc>
          <w:tcPr>
            <w:tcW w:type="dxa" w:w="4968"/>
            <w:shd w:fill="D9EAF7"/>
          </w:tcPr>
          <w:p>
            <w:pPr>
              <w:spacing w:after="20" w:before="20"/>
            </w:pPr>
            <w:r>
              <w:rPr>
                <w:b/>
                <w:sz w:val="17"/>
              </w:rPr>
              <w:t>Taille</w:t>
            </w:r>
          </w:p>
        </w:tc>
      </w:tr>
      <w:tr>
        <w:trPr>
          <w:cantSplit/>
        </w:trPr>
        <w:tc>
          <w:tcPr>
            <w:tcW w:type="dxa" w:w="4968"/>
            <w:vAlign w:val="center"/>
          </w:tcPr>
          <w:p>
            <w:pPr>
              <w:spacing w:after="20" w:before="20"/>
            </w:pPr>
            <w:r>
              <w:rPr>
                <w:sz w:val="17"/>
              </w:rPr>
              <w:t>Simple</w:t>
            </w:r>
          </w:p>
        </w:tc>
        <w:tc>
          <w:tcPr>
            <w:tcW w:type="dxa" w:w="4968"/>
            <w:vAlign w:val="center"/>
          </w:tcPr>
          <w:p>
            <w:pPr>
              <w:spacing w:after="20" w:before="20"/>
            </w:pPr>
            <w:r>
              <w:rPr>
                <w:sz w:val="17"/>
              </w:rPr>
              <w:t>704 512 octets</w:t>
            </w:r>
          </w:p>
        </w:tc>
      </w:tr>
      <w:tr>
        <w:trPr>
          <w:cantSplit/>
        </w:trPr>
        <w:tc>
          <w:tcPr>
            <w:tcW w:type="dxa" w:w="4968"/>
            <w:vAlign w:val="center"/>
          </w:tcPr>
          <w:p>
            <w:pPr>
              <w:spacing w:after="20" w:before="20"/>
            </w:pPr>
            <w:r>
              <w:rPr>
                <w:sz w:val="17"/>
              </w:rPr>
              <w:t>Composé</w:t>
            </w:r>
          </w:p>
        </w:tc>
        <w:tc>
          <w:tcPr>
            <w:tcW w:type="dxa" w:w="4968"/>
            <w:vAlign w:val="center"/>
          </w:tcPr>
          <w:p>
            <w:pPr>
              <w:spacing w:after="20" w:before="20"/>
            </w:pPr>
            <w:r>
              <w:rPr>
                <w:sz w:val="17"/>
              </w:rPr>
              <w:t>4 079 616 octets</w:t>
            </w:r>
          </w:p>
        </w:tc>
      </w:tr>
      <w:tr>
        <w:trPr>
          <w:cantSplit/>
        </w:trPr>
        <w:tc>
          <w:tcPr>
            <w:tcW w:type="dxa" w:w="4968"/>
            <w:vAlign w:val="center"/>
          </w:tcPr>
          <w:p>
            <w:pPr>
              <w:spacing w:after="20" w:before="20"/>
            </w:pPr>
            <w:r>
              <w:rPr>
                <w:sz w:val="17"/>
              </w:rPr>
              <w:t>Couvrant</w:t>
            </w:r>
          </w:p>
        </w:tc>
        <w:tc>
          <w:tcPr>
            <w:tcW w:type="dxa" w:w="4968"/>
            <w:vAlign w:val="center"/>
          </w:tcPr>
          <w:p>
            <w:pPr>
              <w:spacing w:after="20" w:before="20"/>
            </w:pPr>
            <w:r>
              <w:rPr>
                <w:sz w:val="17"/>
              </w:rPr>
              <w:t>5 931 008 octets</w:t>
            </w:r>
          </w:p>
        </w:tc>
      </w:tr>
    </w:tbl>
    <w:p/>
    <w:p>
      <w:r>
        <w:rPr>
          <w:b/>
        </w:rPr>
        <w:t xml:space="preserve">Décision : </w:t>
      </w:r>
      <w:r>
        <w:t>conserver l’index couvrant pour cet historique : 1,061 ms → 0,234 ms en médiane, soit environ 78 % de réduction. Il est plus volumineux, donc son coût de stockage et de mise à jour doit être accepté.</w:t>
      </w:r>
    </w:p>
    <w:p>
      <w:pPr>
        <w:pStyle w:val="Heading2"/>
      </w:pPr>
      <w:r>
        <w:t>4.1 Vérification du coût lors des insertions</w:t>
      </w:r>
    </w:p>
    <w:p>
      <w:r>
        <w:t>Pour comparer les écritures, 1 000 commandes identiques sont insérées dans une transaction puis annulées avec ROLLBACK. Cela évite de modifier durablement les données.</w:t>
      </w:r>
    </w:p>
    <w:p>
      <w:pPr>
        <w:pStyle w:val="SQL"/>
      </w:pPr>
      <w:r>
        <w:t>BEGIN;</w:t>
        <w:br/>
        <w:br/>
        <w:t>EXPLAIN (ANALYZE, BUFFERS)</w:t>
        <w:br/>
        <w:t>INSERT INTO shopflow.commandes</w:t>
        <w:br/>
        <w:t xml:space="preserve">    (id, client_id, created_at, statut, total, cle_idempotence)</w:t>
        <w:br/>
        <w:t>SELECT</w:t>
        <w:br/>
        <w:t xml:space="preserve">    100000 + g,</w:t>
        <w:br/>
        <w:t xml:space="preserve">    CASE g % 3 WHEN 0 THEN 1 WHEN 1 THEN 42 ELSE 999 END,</w:t>
        <w:br/>
        <w:t xml:space="preserve">    TIMESTAMPTZ '2026-10-07 12:00:00+00',</w:t>
        <w:br/>
        <w:t xml:space="preserve">    'payee', 0, 'bench-write-' || g</w:t>
        <w:br/>
        <w:t>FROM generate_series(1, 1000) AS g;</w:t>
        <w:br/>
        <w:br/>
        <w:t>ROLLBACK;</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shd w:fill="D9EAF7"/>
          </w:tcPr>
          <w:p>
            <w:pPr>
              <w:spacing w:after="20" w:before="20"/>
            </w:pPr>
            <w:r>
              <w:rPr>
                <w:b/>
                <w:sz w:val="17"/>
              </w:rPr>
              <w:t>État</w:t>
            </w:r>
          </w:p>
        </w:tc>
        <w:tc>
          <w:tcPr>
            <w:tcW w:type="dxa" w:w="3312"/>
            <w:shd w:fill="D9EAF7"/>
          </w:tcPr>
          <w:p>
            <w:pPr>
              <w:spacing w:after="20" w:before="20"/>
            </w:pPr>
            <w:r>
              <w:rPr>
                <w:b/>
                <w:sz w:val="17"/>
              </w:rPr>
              <w:t>Moyenne</w:t>
            </w:r>
          </w:p>
        </w:tc>
        <w:tc>
          <w:tcPr>
            <w:tcW w:type="dxa" w:w="3312"/>
            <w:shd w:fill="D9EAF7"/>
          </w:tcPr>
          <w:p>
            <w:pPr>
              <w:spacing w:after="20" w:before="20"/>
            </w:pPr>
            <w:r>
              <w:rPr>
                <w:b/>
                <w:sz w:val="17"/>
              </w:rPr>
              <w:t>Médiane</w:t>
            </w:r>
          </w:p>
        </w:tc>
      </w:tr>
      <w:tr>
        <w:trPr>
          <w:cantSplit/>
        </w:trPr>
        <w:tc>
          <w:tcPr>
            <w:tcW w:type="dxa" w:w="3312"/>
            <w:vAlign w:val="center"/>
          </w:tcPr>
          <w:p>
            <w:pPr>
              <w:spacing w:after="20" w:before="20"/>
            </w:pPr>
            <w:r>
              <w:rPr>
                <w:sz w:val="17"/>
              </w:rPr>
              <w:t>Initial</w:t>
            </w:r>
          </w:p>
        </w:tc>
        <w:tc>
          <w:tcPr>
            <w:tcW w:type="dxa" w:w="3312"/>
            <w:vAlign w:val="center"/>
          </w:tcPr>
          <w:p>
            <w:pPr>
              <w:spacing w:after="20" w:before="20"/>
            </w:pPr>
            <w:r>
              <w:rPr>
                <w:sz w:val="17"/>
              </w:rPr>
              <w:t>18,606 ms</w:t>
            </w:r>
          </w:p>
        </w:tc>
        <w:tc>
          <w:tcPr>
            <w:tcW w:type="dxa" w:w="3312"/>
            <w:vAlign w:val="center"/>
          </w:tcPr>
          <w:p>
            <w:pPr>
              <w:spacing w:after="20" w:before="20"/>
            </w:pPr>
            <w:r>
              <w:rPr>
                <w:sz w:val="17"/>
              </w:rPr>
              <w:t>19,613 ms</w:t>
            </w:r>
          </w:p>
        </w:tc>
      </w:tr>
      <w:tr>
        <w:trPr>
          <w:cantSplit/>
        </w:trPr>
        <w:tc>
          <w:tcPr>
            <w:tcW w:type="dxa" w:w="3312"/>
            <w:vAlign w:val="center"/>
          </w:tcPr>
          <w:p>
            <w:pPr>
              <w:spacing w:after="20" w:before="20"/>
            </w:pPr>
            <w:r>
              <w:rPr>
                <w:sz w:val="17"/>
              </w:rPr>
              <w:t>Index simple</w:t>
            </w:r>
          </w:p>
        </w:tc>
        <w:tc>
          <w:tcPr>
            <w:tcW w:type="dxa" w:w="3312"/>
            <w:vAlign w:val="center"/>
          </w:tcPr>
          <w:p>
            <w:pPr>
              <w:spacing w:after="20" w:before="20"/>
            </w:pPr>
            <w:r>
              <w:rPr>
                <w:sz w:val="17"/>
              </w:rPr>
              <w:t>19,613 ms</w:t>
            </w:r>
          </w:p>
        </w:tc>
        <w:tc>
          <w:tcPr>
            <w:tcW w:type="dxa" w:w="3312"/>
            <w:vAlign w:val="center"/>
          </w:tcPr>
          <w:p>
            <w:pPr>
              <w:spacing w:after="20" w:before="20"/>
            </w:pPr>
            <w:r>
              <w:rPr>
                <w:sz w:val="17"/>
              </w:rPr>
              <w:t>18,541 ms</w:t>
            </w:r>
          </w:p>
        </w:tc>
      </w:tr>
      <w:tr>
        <w:trPr>
          <w:cantSplit/>
        </w:trPr>
        <w:tc>
          <w:tcPr>
            <w:tcW w:type="dxa" w:w="3312"/>
            <w:vAlign w:val="center"/>
          </w:tcPr>
          <w:p>
            <w:pPr>
              <w:spacing w:after="20" w:before="20"/>
            </w:pPr>
            <w:r>
              <w:rPr>
                <w:sz w:val="17"/>
              </w:rPr>
              <w:t>Index composé</w:t>
            </w:r>
          </w:p>
        </w:tc>
        <w:tc>
          <w:tcPr>
            <w:tcW w:type="dxa" w:w="3312"/>
            <w:vAlign w:val="center"/>
          </w:tcPr>
          <w:p>
            <w:pPr>
              <w:spacing w:after="20" w:before="20"/>
            </w:pPr>
            <w:r>
              <w:rPr>
                <w:sz w:val="17"/>
              </w:rPr>
              <w:t>21,367 ms</w:t>
            </w:r>
          </w:p>
        </w:tc>
        <w:tc>
          <w:tcPr>
            <w:tcW w:type="dxa" w:w="3312"/>
            <w:vAlign w:val="center"/>
          </w:tcPr>
          <w:p>
            <w:pPr>
              <w:spacing w:after="20" w:before="20"/>
            </w:pPr>
            <w:r>
              <w:rPr>
                <w:sz w:val="17"/>
              </w:rPr>
              <w:t>21,183 ms</w:t>
            </w:r>
          </w:p>
        </w:tc>
      </w:tr>
      <w:tr>
        <w:trPr>
          <w:cantSplit/>
        </w:trPr>
        <w:tc>
          <w:tcPr>
            <w:tcW w:type="dxa" w:w="3312"/>
            <w:vAlign w:val="center"/>
          </w:tcPr>
          <w:p>
            <w:pPr>
              <w:spacing w:after="20" w:before="20"/>
            </w:pPr>
            <w:r>
              <w:rPr>
                <w:sz w:val="17"/>
              </w:rPr>
              <w:t>Index couvrant</w:t>
            </w:r>
          </w:p>
        </w:tc>
        <w:tc>
          <w:tcPr>
            <w:tcW w:type="dxa" w:w="3312"/>
            <w:vAlign w:val="center"/>
          </w:tcPr>
          <w:p>
            <w:pPr>
              <w:spacing w:after="20" w:before="20"/>
            </w:pPr>
            <w:r>
              <w:rPr>
                <w:sz w:val="17"/>
              </w:rPr>
              <w:t>18,762 ms</w:t>
            </w:r>
          </w:p>
        </w:tc>
        <w:tc>
          <w:tcPr>
            <w:tcW w:type="dxa" w:w="3312"/>
            <w:vAlign w:val="center"/>
          </w:tcPr>
          <w:p>
            <w:pPr>
              <w:spacing w:after="20" w:before="20"/>
            </w:pPr>
            <w:r>
              <w:rPr>
                <w:sz w:val="17"/>
              </w:rPr>
              <w:t>19,096 ms</w:t>
            </w:r>
          </w:p>
        </w:tc>
      </w:tr>
    </w:tbl>
    <w:p/>
    <w:p>
      <w:r>
        <w:t>Les mesures varient suffisamment pour ne pas conclure à un surcoût temporel précis du couvrant. En revanche, tout index supplémentaire doit être maintenu lors des écritures et occupe de l’espace.</w:t>
      </w:r>
    </w:p>
    <w:p>
      <w:r>
        <w:rPr>
          <w:b/>
        </w:rPr>
        <w:t xml:space="preserve">Décision : </w:t>
      </w:r>
      <w:r>
        <w:t>le fort gain en lecture justifie ici le couvrant ; le coût d’écriture reste à surveiller sur une charge réelle.</w:t>
      </w:r>
    </w:p>
    <w:p>
      <w:pPr>
        <w:pStyle w:val="Heading1"/>
      </w:pPr>
      <w:r>
        <w:t>5. Atelier 4 — Index spécialisés</w:t>
      </w:r>
    </w:p>
    <w:p>
      <w:pPr>
        <w:pStyle w:val="Heading2"/>
      </w:pPr>
      <w:r>
        <w:t>5.1 Index partiel : commandes en attente</w:t>
      </w:r>
    </w:p>
    <w:p>
      <w:r>
        <w:t>On cherche uniquement les 100 premières commandes en attente. La requête reste exactement la même avant et après création de l’index.</w:t>
      </w:r>
    </w:p>
    <w:p>
      <w:pPr>
        <w:pStyle w:val="SQL"/>
      </w:pPr>
      <w:r>
        <w:t>SELECT id, created_at</w:t>
        <w:br/>
        <w:t>FROM shopflow.commandes</w:t>
        <w:br/>
        <w:t>WHERE statut = 'en_attente'</w:t>
        <w:br/>
        <w:t>ORDER BY created_at, id</w:t>
        <w:br/>
        <w:t>LIMIT 100;</w:t>
      </w:r>
    </w:p>
    <w:p>
      <w:pPr>
        <w:pStyle w:val="SQL"/>
      </w:pPr>
      <w:r>
        <w:t>CREATE INDEX idx_atelier4_attente</w:t>
        <w:br/>
        <w:t>ON shopflow.commandes (created_at, id)</w:t>
        <w:br/>
        <w:t>WHERE statut = 'en_attente';</w:t>
      </w:r>
    </w:p>
    <w:tbl>
      <w:tblPr>
        <w:tblStyle w:val="TableGrid"/>
        <w:tblW w:type="auto" w:w="0"/>
        <w:jc w:val="center"/>
        <w:tblLook w:firstColumn="1" w:firstRow="1" w:lastColumn="0" w:lastRow="0" w:noHBand="0" w:noVBand="1" w:val="04A0"/>
      </w:tblPr>
      <w:tblGrid>
        <w:gridCol w:w="2484"/>
        <w:gridCol w:w="2484"/>
        <w:gridCol w:w="2484"/>
        <w:gridCol w:w="2484"/>
      </w:tblGrid>
      <w:tr>
        <w:trPr>
          <w:cantSplit/>
        </w:trPr>
        <w:tc>
          <w:tcPr>
            <w:tcW w:type="dxa" w:w="2484"/>
            <w:shd w:fill="D9EAF7"/>
          </w:tcPr>
          <w:p>
            <w:pPr>
              <w:spacing w:after="20" w:before="20"/>
            </w:pPr>
            <w:r>
              <w:rPr>
                <w:b/>
                <w:sz w:val="17"/>
              </w:rPr>
              <w:t>État</w:t>
            </w:r>
          </w:p>
        </w:tc>
        <w:tc>
          <w:tcPr>
            <w:tcW w:type="dxa" w:w="2484"/>
            <w:shd w:fill="D9EAF7"/>
          </w:tcPr>
          <w:p>
            <w:pPr>
              <w:spacing w:after="20" w:before="20"/>
            </w:pPr>
            <w:r>
              <w:rPr>
                <w:b/>
                <w:sz w:val="17"/>
              </w:rPr>
              <w:t>Médiane</w:t>
            </w:r>
          </w:p>
        </w:tc>
        <w:tc>
          <w:tcPr>
            <w:tcW w:type="dxa" w:w="2484"/>
            <w:shd w:fill="D9EAF7"/>
          </w:tcPr>
          <w:p>
            <w:pPr>
              <w:spacing w:after="20" w:before="20"/>
            </w:pPr>
            <w:r>
              <w:rPr>
                <w:b/>
                <w:sz w:val="17"/>
              </w:rPr>
              <w:t>Blocs lus</w:t>
            </w:r>
          </w:p>
        </w:tc>
        <w:tc>
          <w:tcPr>
            <w:tcW w:type="dxa" w:w="2484"/>
            <w:shd w:fill="D9EAF7"/>
          </w:tcPr>
          <w:p>
            <w:pPr>
              <w:spacing w:after="20" w:before="20"/>
            </w:pPr>
            <w:r>
              <w:rPr>
                <w:b/>
                <w:sz w:val="17"/>
              </w:rPr>
              <w:t>Travail principal</w:t>
            </w:r>
          </w:p>
        </w:tc>
      </w:tr>
      <w:tr>
        <w:trPr>
          <w:cantSplit/>
        </w:trPr>
        <w:tc>
          <w:tcPr>
            <w:tcW w:type="dxa" w:w="2484"/>
            <w:vAlign w:val="center"/>
          </w:tcPr>
          <w:p>
            <w:pPr>
              <w:spacing w:after="20" w:before="20"/>
            </w:pPr>
            <w:r>
              <w:rPr>
                <w:sz w:val="17"/>
              </w:rPr>
              <w:t>Sans index partiel</w:t>
            </w:r>
          </w:p>
        </w:tc>
        <w:tc>
          <w:tcPr>
            <w:tcW w:type="dxa" w:w="2484"/>
            <w:vAlign w:val="center"/>
          </w:tcPr>
          <w:p>
            <w:pPr>
              <w:spacing w:after="20" w:before="20"/>
            </w:pPr>
            <w:r>
              <w:rPr>
                <w:sz w:val="17"/>
              </w:rPr>
              <w:t>16,608 ms</w:t>
            </w:r>
          </w:p>
        </w:tc>
        <w:tc>
          <w:tcPr>
            <w:tcW w:type="dxa" w:w="2484"/>
            <w:vAlign w:val="center"/>
          </w:tcPr>
          <w:p>
            <w:pPr>
              <w:spacing w:after="20" w:before="20"/>
            </w:pPr>
            <w:r>
              <w:rPr>
                <w:sz w:val="17"/>
              </w:rPr>
              <w:t>1 674</w:t>
            </w:r>
          </w:p>
        </w:tc>
        <w:tc>
          <w:tcPr>
            <w:tcW w:type="dxa" w:w="2484"/>
            <w:vAlign w:val="center"/>
          </w:tcPr>
          <w:p>
            <w:pPr>
              <w:spacing w:after="20" w:before="20"/>
            </w:pPr>
            <w:r>
              <w:rPr>
                <w:sz w:val="17"/>
              </w:rPr>
              <w:t>100 000 commandes parcourues puis tri</w:t>
            </w:r>
          </w:p>
        </w:tc>
      </w:tr>
      <w:tr>
        <w:trPr>
          <w:cantSplit/>
        </w:trPr>
        <w:tc>
          <w:tcPr>
            <w:tcW w:type="dxa" w:w="2484"/>
            <w:vAlign w:val="center"/>
          </w:tcPr>
          <w:p>
            <w:pPr>
              <w:spacing w:after="20" w:before="20"/>
            </w:pPr>
            <w:r>
              <w:rPr>
                <w:sz w:val="17"/>
              </w:rPr>
              <w:t>Avec index partiel</w:t>
            </w:r>
          </w:p>
        </w:tc>
        <w:tc>
          <w:tcPr>
            <w:tcW w:type="dxa" w:w="2484"/>
            <w:vAlign w:val="center"/>
          </w:tcPr>
          <w:p>
            <w:pPr>
              <w:spacing w:after="20" w:before="20"/>
            </w:pPr>
            <w:r>
              <w:rPr>
                <w:sz w:val="17"/>
              </w:rPr>
              <w:t>0,295 ms</w:t>
            </w:r>
          </w:p>
        </w:tc>
        <w:tc>
          <w:tcPr>
            <w:tcW w:type="dxa" w:w="2484"/>
            <w:vAlign w:val="center"/>
          </w:tcPr>
          <w:p>
            <w:pPr>
              <w:spacing w:after="20" w:before="20"/>
            </w:pPr>
            <w:r>
              <w:rPr>
                <w:sz w:val="17"/>
              </w:rPr>
              <w:t>3</w:t>
            </w:r>
          </w:p>
        </w:tc>
        <w:tc>
          <w:tcPr>
            <w:tcW w:type="dxa" w:w="2484"/>
            <w:vAlign w:val="center"/>
          </w:tcPr>
          <w:p>
            <w:pPr>
              <w:spacing w:after="20" w:before="20"/>
            </w:pPr>
            <w:r>
              <w:rPr>
                <w:sz w:val="17"/>
              </w:rPr>
              <w:t>lecture directe des 100 résultats utiles</w:t>
            </w:r>
          </w:p>
        </w:tc>
      </w:tr>
    </w:tbl>
    <w:p/>
    <w:p>
      <w:r>
        <w:t>L’index ne contient que les commandes en attente et les range déjà dans l’ordre demandé. PostgreSQL n’a donc plus besoin de parcourir toute la table ni de trier les résultats.</w:t>
      </w:r>
    </w:p>
    <w:p>
      <w:r>
        <w:rPr>
          <w:b/>
        </w:rPr>
        <w:t xml:space="preserve">Décision : </w:t>
      </w:r>
      <w:r>
        <w:t>conserver l’index partiel : la médiane passe de 16,608 ms à 0,295 ms, soit environ 56 fois plus rapide sur ce test.</w:t>
      </w:r>
    </w:p>
    <w:p>
      <w:pPr>
        <w:pStyle w:val="Heading2"/>
      </w:pPr>
      <w:r>
        <w:t>5.2 GIN sur les attributs JSONB</w:t>
      </w:r>
    </w:p>
    <w:p>
      <w:pPr>
        <w:pStyle w:val="SQL"/>
      </w:pPr>
      <w:r>
        <w:t>CREATE INDEX idx_atelier4_attributs_gin</w:t>
        <w:br/>
        <w:t>ON shopflow.produits USING gin (attributs);</w:t>
        <w:br/>
        <w:br/>
        <w:t>SELECT id, nom</w:t>
        <w:br/>
        <w:t>FROM shopflow.produits</w:t>
        <w:br/>
        <w:t>WHERE attributs @&gt; '{"categorie":"livre"}'::jsonb;</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D9EAF7"/>
          </w:tcPr>
          <w:p>
            <w:pPr>
              <w:spacing w:after="20" w:before="20"/>
            </w:pPr>
            <w:r>
              <w:rPr>
                <w:b/>
                <w:sz w:val="17"/>
              </w:rPr>
              <w:t>Test</w:t>
            </w:r>
          </w:p>
        </w:tc>
        <w:tc>
          <w:tcPr>
            <w:tcW w:type="dxa" w:w="4968"/>
            <w:shd w:fill="D9EAF7"/>
          </w:tcPr>
          <w:p>
            <w:pPr>
              <w:spacing w:after="20" w:before="20"/>
            </w:pPr>
            <w:r>
              <w:rPr>
                <w:b/>
                <w:sz w:val="17"/>
              </w:rPr>
              <w:t>Résultat important</w:t>
            </w:r>
          </w:p>
        </w:tc>
      </w:tr>
      <w:tr>
        <w:trPr>
          <w:cantSplit/>
        </w:trPr>
        <w:tc>
          <w:tcPr>
            <w:tcW w:type="dxa" w:w="4968"/>
            <w:vAlign w:val="center"/>
          </w:tcPr>
          <w:p>
            <w:pPr>
              <w:spacing w:after="20" w:before="20"/>
            </w:pPr>
            <w:r>
              <w:rPr>
                <w:sz w:val="17"/>
              </w:rPr>
              <w:t>Filtre @&gt;</w:t>
            </w:r>
          </w:p>
        </w:tc>
        <w:tc>
          <w:tcPr>
            <w:tcW w:type="dxa" w:w="4968"/>
            <w:vAlign w:val="center"/>
          </w:tcPr>
          <w:p>
            <w:pPr>
              <w:spacing w:after="20" w:before="20"/>
            </w:pPr>
            <w:r>
              <w:rPr>
                <w:sz w:val="17"/>
              </w:rPr>
              <w:t>50 produits ; 0,199 ms</w:t>
            </w:r>
          </w:p>
        </w:tc>
      </w:tr>
      <w:tr>
        <w:trPr>
          <w:cantSplit/>
        </w:trPr>
        <w:tc>
          <w:tcPr>
            <w:tcW w:type="dxa" w:w="4968"/>
            <w:vAlign w:val="center"/>
          </w:tcPr>
          <w:p>
            <w:pPr>
              <w:spacing w:after="20" w:before="20"/>
            </w:pPr>
            <w:r>
              <w:rPr>
                <w:sz w:val="17"/>
              </w:rPr>
              <w:t>Filtre -&gt;&gt;</w:t>
            </w:r>
          </w:p>
        </w:tc>
        <w:tc>
          <w:tcPr>
            <w:tcW w:type="dxa" w:w="4968"/>
            <w:vAlign w:val="center"/>
          </w:tcPr>
          <w:p>
            <w:pPr>
              <w:spacing w:after="20" w:before="20"/>
            </w:pPr>
            <w:r>
              <w:rPr>
                <w:sz w:val="17"/>
              </w:rPr>
              <w:t>50 produits ; 0,207 ms</w:t>
            </w:r>
          </w:p>
        </w:tc>
      </w:tr>
      <w:tr>
        <w:trPr>
          <w:cantSplit/>
        </w:trPr>
        <w:tc>
          <w:tcPr>
            <w:tcW w:type="dxa" w:w="4968"/>
            <w:vAlign w:val="center"/>
          </w:tcPr>
          <w:p>
            <w:pPr>
              <w:spacing w:after="20" w:before="20"/>
            </w:pPr>
            <w:r>
              <w:rPr>
                <w:sz w:val="17"/>
              </w:rPr>
              <w:t>Volume</w:t>
            </w:r>
          </w:p>
        </w:tc>
        <w:tc>
          <w:tcPr>
            <w:tcW w:type="dxa" w:w="4968"/>
            <w:vAlign w:val="center"/>
          </w:tcPr>
          <w:p>
            <w:pPr>
              <w:spacing w:after="20" w:before="20"/>
            </w:pPr>
            <w:r>
              <w:rPr>
                <w:sz w:val="17"/>
              </w:rPr>
              <w:t>200 produits seulement, contenus dans 3 blocs</w:t>
            </w:r>
          </w:p>
        </w:tc>
      </w:tr>
      <w:tr>
        <w:trPr>
          <w:cantSplit/>
        </w:trPr>
        <w:tc>
          <w:tcPr>
            <w:tcW w:type="dxa" w:w="4968"/>
            <w:vAlign w:val="center"/>
          </w:tcPr>
          <w:p>
            <w:pPr>
              <w:spacing w:after="20" w:before="20"/>
            </w:pPr>
            <w:r>
              <w:rPr>
                <w:sz w:val="17"/>
              </w:rPr>
              <w:t>Choix PostgreSQL</w:t>
            </w:r>
          </w:p>
        </w:tc>
        <w:tc>
          <w:tcPr>
            <w:tcW w:type="dxa" w:w="4968"/>
            <w:vAlign w:val="center"/>
          </w:tcPr>
          <w:p>
            <w:pPr>
              <w:spacing w:after="20" w:before="20"/>
            </w:pPr>
            <w:r>
              <w:rPr>
                <w:sz w:val="17"/>
              </w:rPr>
              <w:t>lecture complète de la petite table dans les deux cas</w:t>
            </w:r>
          </w:p>
        </w:tc>
      </w:tr>
    </w:tbl>
    <w:p/>
    <w:p>
      <w:r>
        <w:t>Le GIN est adapté au filtre @&gt;, mais la table est tellement petite qu’utiliser l’index coûterait ici plus cher que lire directement ses trois blocs. Le filtre avec -&gt;&gt; ne correspond pas directement à cet index.</w:t>
      </w:r>
    </w:p>
    <w:p>
      <w:r>
        <w:rPr>
          <w:b/>
        </w:rPr>
        <w:t xml:space="preserve">Décision : </w:t>
      </w:r>
      <w:r>
        <w:t>ne pas annoncer de gain. La preuve importante est qu’un index adapté peut ne pas être utilisé lorsque le volume est trop faible.</w:t>
      </w:r>
    </w:p>
    <w:p>
      <w:pPr>
        <w:pStyle w:val="Heading2"/>
      </w:pPr>
      <w:r>
        <w:t>5.3 GiST et chevauchement de périodes</w:t>
      </w:r>
    </w:p>
    <w:p>
      <w:pPr>
        <w:pStyle w:val="SQL"/>
      </w:pPr>
      <w:r>
        <w:t>SELECT id, periode</w:t>
        <w:br/>
        <w:t>FROM shopflow.atelier4_reservations</w:t>
        <w:br/>
        <w:t>WHERE periode &amp;&amp; tstzrange(</w:t>
        <w:br/>
        <w:t xml:space="preserve">  '2026-10-10 14:00+02',</w:t>
        <w:br/>
        <w:t xml:space="preserve">  '2026-10-10 16:00+02',</w:t>
        <w:br/>
        <w:t xml:space="preserve">  '[)'</w:t>
        <w:br/>
        <w:t>);</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D9EAF7"/>
          </w:tcPr>
          <w:p>
            <w:pPr>
              <w:spacing w:after="20" w:before="20"/>
            </w:pPr>
            <w:r>
              <w:rPr>
                <w:b/>
                <w:sz w:val="17"/>
              </w:rPr>
              <w:t>Preuve</w:t>
            </w:r>
          </w:p>
        </w:tc>
        <w:tc>
          <w:tcPr>
            <w:tcW w:type="dxa" w:w="4968"/>
            <w:shd w:fill="D9EAF7"/>
          </w:tcPr>
          <w:p>
            <w:pPr>
              <w:spacing w:after="20" w:before="20"/>
            </w:pPr>
            <w:r>
              <w:rPr>
                <w:b/>
                <w:sz w:val="17"/>
              </w:rPr>
              <w:t>Résultat</w:t>
            </w:r>
          </w:p>
        </w:tc>
      </w:tr>
      <w:tr>
        <w:trPr>
          <w:cantSplit/>
        </w:trPr>
        <w:tc>
          <w:tcPr>
            <w:tcW w:type="dxa" w:w="4968"/>
            <w:vAlign w:val="center"/>
          </w:tcPr>
          <w:p>
            <w:pPr>
              <w:spacing w:after="20" w:before="20"/>
            </w:pPr>
            <w:r>
              <w:rPr>
                <w:sz w:val="17"/>
              </w:rPr>
              <w:t>Périodes retournées</w:t>
            </w:r>
          </w:p>
        </w:tc>
        <w:tc>
          <w:tcPr>
            <w:tcW w:type="dxa" w:w="4968"/>
            <w:vAlign w:val="center"/>
          </w:tcPr>
          <w:p>
            <w:pPr>
              <w:spacing w:after="20" w:before="20"/>
            </w:pPr>
            <w:r>
              <w:rPr>
                <w:sz w:val="17"/>
              </w:rPr>
              <w:t>1 et 2</w:t>
            </w:r>
          </w:p>
        </w:tc>
      </w:tr>
      <w:tr>
        <w:trPr>
          <w:cantSplit/>
        </w:trPr>
        <w:tc>
          <w:tcPr>
            <w:tcW w:type="dxa" w:w="4968"/>
            <w:vAlign w:val="center"/>
          </w:tcPr>
          <w:p>
            <w:pPr>
              <w:spacing w:after="20" w:before="20"/>
            </w:pPr>
            <w:r>
              <w:rPr>
                <w:sz w:val="17"/>
              </w:rPr>
              <w:t>Période exclue</w:t>
            </w:r>
          </w:p>
        </w:tc>
        <w:tc>
          <w:tcPr>
            <w:tcW w:type="dxa" w:w="4968"/>
            <w:vAlign w:val="center"/>
          </w:tcPr>
          <w:p>
            <w:pPr>
              <w:spacing w:after="20" w:before="20"/>
            </w:pPr>
            <w:r>
              <w:rPr>
                <w:sz w:val="17"/>
              </w:rPr>
              <w:t>3</w:t>
            </w:r>
          </w:p>
        </w:tc>
      </w:tr>
      <w:tr>
        <w:trPr>
          <w:cantSplit/>
        </w:trPr>
        <w:tc>
          <w:tcPr>
            <w:tcW w:type="dxa" w:w="4968"/>
            <w:vAlign w:val="center"/>
          </w:tcPr>
          <w:p>
            <w:pPr>
              <w:spacing w:after="20" w:before="20"/>
            </w:pPr>
            <w:r>
              <w:rPr>
                <w:sz w:val="17"/>
              </w:rPr>
              <w:t>Temps</w:t>
            </w:r>
          </w:p>
        </w:tc>
        <w:tc>
          <w:tcPr>
            <w:tcW w:type="dxa" w:w="4968"/>
            <w:vAlign w:val="center"/>
          </w:tcPr>
          <w:p>
            <w:pPr>
              <w:spacing w:after="20" w:before="20"/>
            </w:pPr>
            <w:r>
              <w:rPr>
                <w:sz w:val="17"/>
              </w:rPr>
              <w:t>0,180 ms</w:t>
            </w:r>
          </w:p>
        </w:tc>
      </w:tr>
      <w:tr>
        <w:trPr>
          <w:cantSplit/>
        </w:trPr>
        <w:tc>
          <w:tcPr>
            <w:tcW w:type="dxa" w:w="4968"/>
            <w:vAlign w:val="center"/>
          </w:tcPr>
          <w:p>
            <w:pPr>
              <w:spacing w:after="20" w:before="20"/>
            </w:pPr>
            <w:r>
              <w:rPr>
                <w:sz w:val="17"/>
              </w:rPr>
              <w:t>Volume</w:t>
            </w:r>
          </w:p>
        </w:tc>
        <w:tc>
          <w:tcPr>
            <w:tcW w:type="dxa" w:w="4968"/>
            <w:vAlign w:val="center"/>
          </w:tcPr>
          <w:p>
            <w:pPr>
              <w:spacing w:after="20" w:before="20"/>
            </w:pPr>
            <w:r>
              <w:rPr>
                <w:sz w:val="17"/>
              </w:rPr>
              <w:t>3 périodes seulement</w:t>
            </w:r>
          </w:p>
        </w:tc>
      </w:tr>
    </w:tbl>
    <w:p/>
    <w:p>
      <w:r>
        <w:t>Le résultat fonctionnel est correct : les deux périodes qui se chevauchent sont retrouvées. Avec seulement trois lignes, PostgreSQL préfère simplement les lire toutes plutôt que passer par l’index.</w:t>
      </w:r>
    </w:p>
    <w:p>
      <w:r>
        <w:rPr>
          <w:b/>
        </w:rPr>
        <w:t xml:space="preserve">Décision : </w:t>
      </w:r>
      <w:r>
        <w:t>conserver l’expérience comme preuve du bon opérateur de chevauchement, sans prétendre à une accélération sur trois lignes.</w:t>
      </w:r>
    </w:p>
    <w:p>
      <w:pPr>
        <w:pStyle w:val="Heading1"/>
      </w:pPr>
      <w:r>
        <w:t>6. Atelier 4 bis — Migration de schéma compatible</w:t>
      </w:r>
    </w:p>
    <w:p>
      <w:r>
        <w:t>L’objectif n’est pas d’accélérer une requête, mais de faire évoluer le schéma sans casser les lectures ou écritures existantes, puis de vérifier les contraintes, les verrous et le retour arrière.</w:t>
      </w:r>
    </w:p>
    <w:p>
      <w:pPr>
        <w:pStyle w:val="Heading2"/>
      </w:pPr>
      <w:r>
        <w:t>6.1 Ajout compatible de newsletter_ok</w:t>
      </w:r>
    </w:p>
    <w:p>
      <w:pPr>
        <w:spacing w:before="40" w:after="100"/>
        <w:ind w:left="240"/>
      </w:pPr>
      <w:r>
        <w:rPr>
          <w:rFonts w:ascii="Courier New" w:hAnsi="Courier New"/>
          <w:sz w:val="17"/>
        </w:rPr>
        <w:t>ALTER TABLE shopflow.clients_migration_tp</w:t>
        <w:br/>
        <w:t xml:space="preserve">  ADD COLUMN newsletter_ok boolean;</w:t>
        <w:br/>
        <w:br/>
        <w:t>ALTER TABLE shopflow.clients_migration_tp</w:t>
        <w:br/>
        <w:t xml:space="preserve">  ALTER COLUMN newsletter_ok SET DEFAULT false;</w:t>
      </w:r>
    </w:p>
    <w:tbl>
      <w:tblPr>
        <w:tblStyle w:val="TableGrid"/>
        <w:tblW w:type="auto" w:w="0"/>
        <w:tblLook w:firstColumn="1" w:firstRow="1" w:lastColumn="0" w:lastRow="0" w:noHBand="0" w:noVBand="1" w:val="04A0"/>
      </w:tblPr>
      <w:tblGrid>
        <w:gridCol w:w="4968"/>
        <w:gridCol w:w="4968"/>
      </w:tblGrid>
      <w:tr>
        <w:trPr>
          <w:cantSplit/>
        </w:trPr>
        <w:tc>
          <w:tcPr>
            <w:tcW w:type="dxa" w:w="4968"/>
          </w:tcPr>
          <w:p>
            <w:r>
              <w:t>Preuve</w:t>
            </w:r>
          </w:p>
        </w:tc>
        <w:tc>
          <w:tcPr>
            <w:tcW w:type="dxa" w:w="4968"/>
          </w:tcPr>
          <w:p>
            <w:r>
              <w:t>Résultat</w:t>
            </w:r>
          </w:p>
        </w:tc>
      </w:tr>
      <w:tr>
        <w:trPr>
          <w:cantSplit/>
        </w:trPr>
        <w:tc>
          <w:tcPr>
            <w:tcW w:type="dxa" w:w="4968"/>
          </w:tcPr>
          <w:p>
            <w:r>
              <w:t>Après ADD COLUMN</w:t>
            </w:r>
          </w:p>
        </w:tc>
        <w:tc>
          <w:tcPr>
            <w:tcW w:type="dxa" w:w="4968"/>
          </w:tcPr>
          <w:p>
            <w:r>
              <w:t>1 000 lignes à NULL</w:t>
            </w:r>
          </w:p>
        </w:tc>
      </w:tr>
      <w:tr>
        <w:trPr>
          <w:cantSplit/>
        </w:trPr>
        <w:tc>
          <w:tcPr>
            <w:tcW w:type="dxa" w:w="4968"/>
          </w:tcPr>
          <w:p>
            <w:r>
              <w:t>Ancien lecteur</w:t>
            </w:r>
          </w:p>
        </w:tc>
        <w:tc>
          <w:tcPr>
            <w:tcW w:type="dxa" w:w="4968"/>
          </w:tcPr>
          <w:p>
            <w:r>
              <w:t>id, email, nom toujours lisibles</w:t>
            </w:r>
          </w:p>
        </w:tc>
      </w:tr>
      <w:tr>
        <w:trPr>
          <w:cantSplit/>
        </w:trPr>
        <w:tc>
          <w:tcPr>
            <w:tcW w:type="dxa" w:w="4968"/>
          </w:tcPr>
          <w:p>
            <w:r>
              <w:t>Nouveau lecteur</w:t>
            </w:r>
          </w:p>
        </w:tc>
        <w:tc>
          <w:tcPr>
            <w:tcW w:type="dxa" w:w="4968"/>
          </w:tcPr>
          <w:p>
            <w:r>
              <w:t>COALESCE(newsletter_ok, false) retourne false</w:t>
            </w:r>
          </w:p>
        </w:tc>
      </w:tr>
      <w:tr>
        <w:trPr>
          <w:cantSplit/>
        </w:trPr>
        <w:tc>
          <w:tcPr>
            <w:tcW w:type="dxa" w:w="4968"/>
          </w:tcPr>
          <w:p>
            <w:r>
              <w:t>Ancien writer</w:t>
            </w:r>
          </w:p>
        </w:tc>
        <w:tc>
          <w:tcPr>
            <w:tcW w:type="dxa" w:w="4968"/>
          </w:tcPr>
          <w:p>
            <w:r>
              <w:t>id 1001 inséré sans newsletter_ok → NULL</w:t>
            </w:r>
          </w:p>
        </w:tc>
      </w:tr>
      <w:tr>
        <w:trPr>
          <w:cantSplit/>
        </w:trPr>
        <w:tc>
          <w:tcPr>
            <w:tcW w:type="dxa" w:w="4968"/>
          </w:tcPr>
          <w:p>
            <w:r>
              <w:t>Nouveau writer</w:t>
            </w:r>
          </w:p>
        </w:tc>
        <w:tc>
          <w:tcPr>
            <w:tcW w:type="dxa" w:w="4968"/>
          </w:tcPr>
          <w:p>
            <w:r>
              <w:t>id 1002 inséré avec newsletter_ok=false → false</w:t>
            </w:r>
          </w:p>
        </w:tc>
      </w:tr>
      <w:tr>
        <w:trPr>
          <w:cantSplit/>
        </w:trPr>
        <w:tc>
          <w:tcPr>
            <w:tcW w:type="dxa" w:w="4968"/>
          </w:tcPr>
          <w:p>
            <w:r>
              <w:t>Après SET DEFAULT false</w:t>
            </w:r>
          </w:p>
        </w:tc>
        <w:tc>
          <w:tcPr>
            <w:tcW w:type="dxa" w:w="4968"/>
          </w:tcPr>
          <w:p>
            <w:r>
              <w:t>les 1 000 anciennes lignes restent à NULL</w:t>
            </w:r>
          </w:p>
        </w:tc>
      </w:tr>
    </w:tbl>
    <w:p>
      <w:r>
        <w:t>Le DEFAULT sécurise les futures insertions, mais ne remplit pas rétroactivement les lignes existantes. La compatibilité est donc conservée pendant la transition.</w:t>
      </w:r>
    </w:p>
    <w:p>
      <w:pPr>
        <w:pStyle w:val="Heading2"/>
      </w:pPr>
      <w:r>
        <w:t>6.2 Remplissage progressif</w:t>
      </w:r>
    </w:p>
    <w:p>
      <w:pPr>
        <w:spacing w:before="40" w:after="100"/>
        <w:ind w:left="240"/>
      </w:pPr>
      <w:r>
        <w:rPr>
          <w:rFonts w:ascii="Courier New" w:hAnsi="Courier New"/>
          <w:sz w:val="17"/>
        </w:rPr>
        <w:t>WITH lot AS (</w:t>
        <w:br/>
        <w:t xml:space="preserve">  SELECT id</w:t>
        <w:br/>
        <w:t xml:space="preserve">  FROM shopflow.clients_migration_tp</w:t>
        <w:br/>
        <w:t xml:space="preserve">  WHERE newsletter_ok IS NULL</w:t>
        <w:br/>
        <w:t xml:space="preserve">  ORDER BY id</w:t>
        <w:br/>
        <w:t xml:space="preserve">  LIMIT 200</w:t>
        <w:br/>
        <w:t>), maj AS (</w:t>
        <w:br/>
        <w:t xml:space="preserve">  UPDATE shopflow.clients_migration_tp c</w:t>
        <w:br/>
        <w:t xml:space="preserve">  SET newsletter_ok = false</w:t>
        <w:br/>
        <w:t xml:space="preserve">  FROM lot</w:t>
        <w:br/>
        <w:t xml:space="preserve">  WHERE c.id = lot.id</w:t>
        <w:br/>
        <w:t xml:space="preserve">    AND c.newsletter_ok IS NULL</w:t>
        <w:br/>
        <w:t xml:space="preserve">  RETURNING c.id</w:t>
        <w:br/>
        <w:t>)</w:t>
        <w:br/>
        <w:t>SELECT count(*) AS nb_mises_a_jour</w:t>
        <w:br/>
        <w:t>FROM maj;</w:t>
      </w:r>
    </w:p>
    <w:tbl>
      <w:tblPr>
        <w:tblStyle w:val="TableGrid"/>
        <w:tblW w:type="auto" w:w="0"/>
        <w:tblLook w:firstColumn="1" w:firstRow="1" w:lastColumn="0" w:lastRow="0" w:noHBand="0" w:noVBand="1" w:val="04A0"/>
      </w:tblPr>
      <w:tblGrid>
        <w:gridCol w:w="4968"/>
        <w:gridCol w:w="4968"/>
      </w:tblGrid>
      <w:tr>
        <w:trPr>
          <w:cantSplit/>
        </w:trPr>
        <w:tc>
          <w:tcPr>
            <w:tcW w:type="dxa" w:w="4968"/>
          </w:tcPr>
          <w:p>
            <w:r>
              <w:t>Preuve</w:t>
            </w:r>
          </w:p>
        </w:tc>
        <w:tc>
          <w:tcPr>
            <w:tcW w:type="dxa" w:w="4968"/>
          </w:tcPr>
          <w:p>
            <w:r>
              <w:t>Résultat</w:t>
            </w:r>
          </w:p>
        </w:tc>
      </w:tr>
      <w:tr>
        <w:trPr>
          <w:cantSplit/>
        </w:trPr>
        <w:tc>
          <w:tcPr>
            <w:tcW w:type="dxa" w:w="4968"/>
          </w:tcPr>
          <w:p>
            <w:r>
              <w:t>Lot 1</w:t>
            </w:r>
          </w:p>
        </w:tc>
        <w:tc>
          <w:tcPr>
            <w:tcW w:type="dxa" w:w="4968"/>
          </w:tcPr>
          <w:p>
            <w:r>
              <w:t>200 mises à jour ; 800 NULL restants</w:t>
            </w:r>
          </w:p>
        </w:tc>
      </w:tr>
      <w:tr>
        <w:trPr>
          <w:cantSplit/>
        </w:trPr>
        <w:tc>
          <w:tcPr>
            <w:tcW w:type="dxa" w:w="4968"/>
          </w:tcPr>
          <w:p>
            <w:r>
              <w:t>Lot 2</w:t>
            </w:r>
          </w:p>
        </w:tc>
        <w:tc>
          <w:tcPr>
            <w:tcW w:type="dxa" w:w="4968"/>
          </w:tcPr>
          <w:p>
            <w:r>
              <w:t>200 mises à jour ; 600 NULL restants</w:t>
            </w:r>
          </w:p>
        </w:tc>
      </w:tr>
      <w:tr>
        <w:trPr>
          <w:cantSplit/>
        </w:trPr>
        <w:tc>
          <w:tcPr>
            <w:tcW w:type="dxa" w:w="4968"/>
          </w:tcPr>
          <w:p>
            <w:r>
              <w:t>Lot 3</w:t>
            </w:r>
          </w:p>
        </w:tc>
        <w:tc>
          <w:tcPr>
            <w:tcW w:type="dxa" w:w="4968"/>
          </w:tcPr>
          <w:p>
            <w:r>
              <w:t>200 mises à jour ; 400 NULL restants</w:t>
            </w:r>
          </w:p>
        </w:tc>
      </w:tr>
      <w:tr>
        <w:trPr>
          <w:cantSplit/>
        </w:trPr>
        <w:tc>
          <w:tcPr>
            <w:tcW w:type="dxa" w:w="4968"/>
          </w:tcPr>
          <w:p>
            <w:r>
              <w:t>Lot 4</w:t>
            </w:r>
          </w:p>
        </w:tc>
        <w:tc>
          <w:tcPr>
            <w:tcW w:type="dxa" w:w="4968"/>
          </w:tcPr>
          <w:p>
            <w:r>
              <w:t>200 mises à jour ; 200 NULL restants</w:t>
            </w:r>
          </w:p>
        </w:tc>
      </w:tr>
      <w:tr>
        <w:trPr>
          <w:cantSplit/>
        </w:trPr>
        <w:tc>
          <w:tcPr>
            <w:tcW w:type="dxa" w:w="4968"/>
          </w:tcPr>
          <w:p>
            <w:r>
              <w:t>Lot 5</w:t>
            </w:r>
          </w:p>
        </w:tc>
        <w:tc>
          <w:tcPr>
            <w:tcW w:type="dxa" w:w="4968"/>
          </w:tcPr>
          <w:p>
            <w:r>
              <w:t>200 mises à jour ; 0 NULL restant</w:t>
            </w:r>
          </w:p>
        </w:tc>
      </w:tr>
      <w:tr>
        <w:trPr>
          <w:cantSplit/>
        </w:trPr>
        <w:tc>
          <w:tcPr>
            <w:tcW w:type="dxa" w:w="4968"/>
          </w:tcPr>
          <w:p>
            <w:r>
              <w:t>Relance</w:t>
            </w:r>
          </w:p>
        </w:tc>
        <w:tc>
          <w:tcPr>
            <w:tcW w:type="dxa" w:w="4968"/>
          </w:tcPr>
          <w:p>
            <w:r>
              <w:t>0 mise à jour ; 0 NULL restant</w:t>
            </w:r>
          </w:p>
        </w:tc>
      </w:tr>
    </w:tbl>
    <w:p>
      <w:r>
        <w:t>Le remplissage par petits lots évite une modification massive en une seule opération. La relance à 0 montre aussi que l’opération peut être rejouée sans modifier davantage les données.</w:t>
      </w:r>
    </w:p>
    <w:p>
      <w:pPr>
        <w:pStyle w:val="Heading2"/>
      </w:pPr>
      <w:r>
        <w:t>6.3 Contraintes et contrôles</w:t>
      </w:r>
    </w:p>
    <w:p>
      <w:pPr>
        <w:spacing w:before="40" w:after="100"/>
        <w:ind w:left="240"/>
      </w:pPr>
      <w:r>
        <w:rPr>
          <w:rFonts w:ascii="Courier New" w:hAnsi="Courier New"/>
          <w:sz w:val="17"/>
        </w:rPr>
        <w:t>ALTER TABLE shopflow.clients_migration_tp</w:t>
        <w:br/>
        <w:t xml:space="preserve">  ADD CONSTRAINT clients_newsletter_nn_tp</w:t>
        <w:br/>
        <w:t xml:space="preserve">  CHECK (newsletter_ok IS NOT NULL) NOT VALID;</w:t>
        <w:br/>
        <w:br/>
        <w:t>ALTER TABLE shopflow.clients_migration_tp</w:t>
        <w:br/>
        <w:t xml:space="preserve">  VALIDATE CONSTRAINT clients_newsletter_nn_tp;</w:t>
        <w:br/>
        <w:br/>
        <w:t>ALTER TABLE shopflow.clients_migration_tp</w:t>
        <w:br/>
        <w:t xml:space="preserve">  ALTER COLUMN newsletter_ok SET NOT NULL;</w:t>
      </w:r>
    </w:p>
    <w:tbl>
      <w:tblPr>
        <w:tblStyle w:val="TableGrid"/>
        <w:tblW w:type="auto" w:w="0"/>
        <w:tblLook w:firstColumn="1" w:firstRow="1" w:lastColumn="0" w:lastRow="0" w:noHBand="0" w:noVBand="1" w:val="04A0"/>
      </w:tblPr>
      <w:tblGrid>
        <w:gridCol w:w="4968"/>
        <w:gridCol w:w="4968"/>
      </w:tblGrid>
      <w:tr>
        <w:trPr>
          <w:cantSplit/>
        </w:trPr>
        <w:tc>
          <w:tcPr>
            <w:tcW w:type="dxa" w:w="4968"/>
          </w:tcPr>
          <w:p>
            <w:r>
              <w:t>Preuve</w:t>
            </w:r>
          </w:p>
        </w:tc>
        <w:tc>
          <w:tcPr>
            <w:tcW w:type="dxa" w:w="4968"/>
          </w:tcPr>
          <w:p>
            <w:r>
              <w:t>Résultat</w:t>
            </w:r>
          </w:p>
        </w:tc>
      </w:tr>
      <w:tr>
        <w:trPr>
          <w:cantSplit/>
        </w:trPr>
        <w:tc>
          <w:tcPr>
            <w:tcW w:type="dxa" w:w="4968"/>
          </w:tcPr>
          <w:p>
            <w:r>
              <w:t>CHECK juste après ajout</w:t>
            </w:r>
          </w:p>
        </w:tc>
        <w:tc>
          <w:tcPr>
            <w:tcW w:type="dxa" w:w="4968"/>
          </w:tcPr>
          <w:p>
            <w:r>
              <w:t>convalidated = false</w:t>
            </w:r>
          </w:p>
        </w:tc>
      </w:tr>
      <w:tr>
        <w:trPr>
          <w:cantSplit/>
        </w:trPr>
        <w:tc>
          <w:tcPr>
            <w:tcW w:type="dxa" w:w="4968"/>
          </w:tcPr>
          <w:p>
            <w:r>
              <w:t>Après VALIDATE</w:t>
            </w:r>
          </w:p>
        </w:tc>
        <w:tc>
          <w:tcPr>
            <w:tcW w:type="dxa" w:w="4968"/>
          </w:tcPr>
          <w:p>
            <w:r>
              <w:t>convalidated = true</w:t>
            </w:r>
          </w:p>
        </w:tc>
      </w:tr>
      <w:tr>
        <w:trPr>
          <w:cantSplit/>
        </w:trPr>
        <w:tc>
          <w:tcPr>
            <w:tcW w:type="dxa" w:w="4968"/>
          </w:tcPr>
          <w:p>
            <w:r>
              <w:t>Colonne finale</w:t>
            </w:r>
          </w:p>
        </w:tc>
        <w:tc>
          <w:tcPr>
            <w:tcW w:type="dxa" w:w="4968"/>
          </w:tcPr>
          <w:p>
            <w:r>
              <w:t>is_nullable = NO ; default = false</w:t>
            </w:r>
          </w:p>
        </w:tc>
      </w:tr>
      <w:tr>
        <w:trPr>
          <w:cantSplit/>
        </w:trPr>
        <w:tc>
          <w:tcPr>
            <w:tcW w:type="dxa" w:w="4968"/>
          </w:tcPr>
          <w:p>
            <w:r>
              <w:t>Insertion sans newsletter_ok</w:t>
            </w:r>
          </w:p>
        </w:tc>
        <w:tc>
          <w:tcPr>
            <w:tcW w:type="dxa" w:w="4968"/>
          </w:tcPr>
          <w:p>
            <w:r>
              <w:t>valeur obtenue = false</w:t>
            </w:r>
          </w:p>
        </w:tc>
      </w:tr>
      <w:tr>
        <w:trPr>
          <w:cantSplit/>
        </w:trPr>
        <w:tc>
          <w:tcPr>
            <w:tcW w:type="dxa" w:w="4968"/>
          </w:tcPr>
          <w:p>
            <w:r>
              <w:t>Tentative newsletter_ok = NULL</w:t>
            </w:r>
          </w:p>
        </w:tc>
        <w:tc>
          <w:tcPr>
            <w:tcW w:type="dxa" w:w="4968"/>
          </w:tcPr>
          <w:p>
            <w:r>
              <w:t>refusée — SQLSTATE 23502</w:t>
            </w:r>
          </w:p>
        </w:tc>
      </w:tr>
      <w:tr>
        <w:trPr>
          <w:cantSplit/>
        </w:trPr>
        <w:tc>
          <w:tcPr>
            <w:tcW w:type="dxa" w:w="4968"/>
          </w:tcPr>
          <w:p>
            <w:r>
              <w:t>Contrôle final</w:t>
            </w:r>
          </w:p>
        </w:tc>
        <w:tc>
          <w:tcPr>
            <w:tcW w:type="dxa" w:w="4968"/>
          </w:tcPr>
          <w:p>
            <w:r>
              <w:t>1 000 clients ; 0 NULL ; 1 000 false</w:t>
            </w:r>
          </w:p>
        </w:tc>
      </w:tr>
      <w:tr>
        <w:trPr>
          <w:cantSplit/>
        </w:trPr>
        <w:tc>
          <w:tcPr>
            <w:tcW w:type="dxa" w:w="4968"/>
          </w:tcPr>
          <w:p>
            <w:r>
              <w:t>Données historiques</w:t>
            </w:r>
          </w:p>
        </w:tc>
        <w:tc>
          <w:tcPr>
            <w:tcW w:type="dxa" w:w="4968"/>
          </w:tcPr>
          <w:p>
            <w:r>
              <w:t>0 écart sur id, email et nom</w:t>
            </w:r>
          </w:p>
        </w:tc>
      </w:tr>
    </w:tbl>
    <w:p>
      <w:r>
        <w:t>La contrainte est introduite progressivement : elle est d’abord ajoutée, puis validée sur les données existantes avant de rendre la colonne réellement NOT NULL.</w:t>
      </w:r>
    </w:p>
    <w:p>
      <w:pPr>
        <w:pStyle w:val="Heading2"/>
      </w:pPr>
      <w:r>
        <w:t>6.4 Verrouillage et lock_timeout</w:t>
      </w:r>
    </w:p>
    <w:p>
      <w:pPr>
        <w:spacing w:before="40" w:after="100"/>
        <w:ind w:left="240"/>
      </w:pPr>
      <w:r>
        <w:rPr>
          <w:rFonts w:ascii="Courier New" w:hAnsi="Courier New"/>
          <w:sz w:val="17"/>
        </w:rPr>
        <w:t>-- Session A</w:t>
        <w:br/>
        <w:t>BEGIN;</w:t>
        <w:br/>
        <w:t>SELECT *</w:t>
        <w:br/>
        <w:t>FROM shopflow.clients_migration_tp</w:t>
        <w:br/>
        <w:t>WHERE id = 1;</w:t>
        <w:br/>
        <w:br/>
        <w:t>-- Session B</w:t>
        <w:br/>
        <w:t>SET lock_timeout = '2s';</w:t>
        <w:br/>
        <w:t>ALTER TABLE shopflow.clients_migration_tp</w:t>
        <w:br/>
        <w:t xml:space="preserve">  ADD COLUMN test_verrou integer;</w:t>
      </w:r>
    </w:p>
    <w:tbl>
      <w:tblPr>
        <w:tblStyle w:val="TableGrid"/>
        <w:tblW w:type="auto" w:w="0"/>
        <w:tblLook w:firstColumn="1" w:firstRow="1" w:lastColumn="0" w:lastRow="0" w:noHBand="0" w:noVBand="1" w:val="04A0"/>
      </w:tblPr>
      <w:tblGrid>
        <w:gridCol w:w="4968"/>
        <w:gridCol w:w="4968"/>
      </w:tblGrid>
      <w:tr>
        <w:trPr>
          <w:cantSplit/>
        </w:trPr>
        <w:tc>
          <w:tcPr>
            <w:tcW w:type="dxa" w:w="4968"/>
          </w:tcPr>
          <w:p>
            <w:r>
              <w:t>Preuve</w:t>
            </w:r>
          </w:p>
        </w:tc>
        <w:tc>
          <w:tcPr>
            <w:tcW w:type="dxa" w:w="4968"/>
          </w:tcPr>
          <w:p>
            <w:r>
              <w:t>Résultat</w:t>
            </w:r>
          </w:p>
        </w:tc>
      </w:tr>
      <w:tr>
        <w:trPr>
          <w:cantSplit/>
        </w:trPr>
        <w:tc>
          <w:tcPr>
            <w:tcW w:type="dxa" w:w="4968"/>
          </w:tcPr>
          <w:p>
            <w:r>
              <w:t>Session A ouverte</w:t>
            </w:r>
          </w:p>
        </w:tc>
        <w:tc>
          <w:tcPr>
            <w:tcW w:type="dxa" w:w="4968"/>
          </w:tcPr>
          <w:p>
            <w:r>
              <w:t>la transaction reste active</w:t>
            </w:r>
          </w:p>
        </w:tc>
      </w:tr>
      <w:tr>
        <w:trPr>
          <w:cantSplit/>
        </w:trPr>
        <w:tc>
          <w:tcPr>
            <w:tcW w:type="dxa" w:w="4968"/>
          </w:tcPr>
          <w:p>
            <w:r>
              <w:t>ALTER TABLE en session B</w:t>
            </w:r>
          </w:p>
        </w:tc>
        <w:tc>
          <w:tcPr>
            <w:tcW w:type="dxa" w:w="4968"/>
          </w:tcPr>
          <w:p>
            <w:r>
              <w:t>annulé par lock timeout — SQLSTATE 55P03</w:t>
            </w:r>
          </w:p>
        </w:tc>
      </w:tr>
      <w:tr>
        <w:trPr>
          <w:cantSplit/>
        </w:trPr>
        <w:tc>
          <w:tcPr>
            <w:tcW w:type="dxa" w:w="4968"/>
          </w:tcPr>
          <w:p>
            <w:r>
              <w:t>Après COMMIT de A</w:t>
            </w:r>
          </w:p>
        </w:tc>
        <w:tc>
          <w:tcPr>
            <w:tcW w:type="dxa" w:w="4968"/>
          </w:tcPr>
          <w:p>
            <w:r>
              <w:t>le même ALTER TABLE réussit en 57 ms</w:t>
            </w:r>
          </w:p>
        </w:tc>
      </w:tr>
    </w:tbl>
    <w:p>
      <w:r>
        <w:t>Le test montre qu’une migration de schéma peut attendre un verrou détenu par une autre transaction. Le lock_timeout limite cette attente et permet d’abandonner proprement au lieu de rester bloqué.</w:t>
      </w:r>
    </w:p>
    <w:p>
      <w:pPr>
        <w:pStyle w:val="Heading2"/>
      </w:pPr>
      <w:r>
        <w:t>6.5 Retour arrière</w:t>
      </w:r>
    </w:p>
    <w:p>
      <w:pPr>
        <w:spacing w:before="40" w:after="100"/>
        <w:ind w:left="240"/>
      </w:pPr>
      <w:r>
        <w:rPr>
          <w:rFonts w:ascii="Courier New" w:hAnsi="Courier New"/>
          <w:sz w:val="17"/>
        </w:rPr>
        <w:t>ALTER TABLE shopflow.clients_migration_tp</w:t>
        <w:br/>
        <w:t xml:space="preserve">  DROP CONSTRAINT clients_newsletter_nn_tp;</w:t>
        <w:br/>
        <w:br/>
        <w:t>ALTER TABLE shopflow.clients_migration_tp</w:t>
        <w:br/>
        <w:t xml:space="preserve">  ALTER COLUMN newsletter_ok DROP NOT NULL,</w:t>
        <w:br/>
        <w:t xml:space="preserve">  ALTER COLUMN newsletter_ok DROP DEFAULT;</w:t>
        <w:br/>
        <w:br/>
        <w:t>ALTER TABLE shopflow.clients_migration_tp</w:t>
        <w:br/>
        <w:t xml:space="preserve">  DROP COLUMN newsletter_ok;</w:t>
      </w:r>
    </w:p>
    <w:tbl>
      <w:tblPr>
        <w:tblStyle w:val="TableGrid"/>
        <w:tblW w:type="auto" w:w="0"/>
        <w:tblLook w:firstColumn="1" w:firstRow="1" w:lastColumn="0" w:lastRow="0" w:noHBand="0" w:noVBand="1" w:val="04A0"/>
      </w:tblPr>
      <w:tblGrid>
        <w:gridCol w:w="4968"/>
        <w:gridCol w:w="4968"/>
      </w:tblGrid>
      <w:tr>
        <w:trPr>
          <w:cantSplit/>
        </w:trPr>
        <w:tc>
          <w:tcPr>
            <w:tcW w:type="dxa" w:w="4968"/>
          </w:tcPr>
          <w:p>
            <w:r>
              <w:t>Preuve</w:t>
            </w:r>
          </w:p>
        </w:tc>
        <w:tc>
          <w:tcPr>
            <w:tcW w:type="dxa" w:w="4968"/>
          </w:tcPr>
          <w:p>
            <w:r>
              <w:t>Résultat</w:t>
            </w:r>
          </w:p>
        </w:tc>
      </w:tr>
      <w:tr>
        <w:trPr>
          <w:cantSplit/>
        </w:trPr>
        <w:tc>
          <w:tcPr>
            <w:tcW w:type="dxa" w:w="4968"/>
          </w:tcPr>
          <w:p>
            <w:r>
              <w:t>Après retrait des protections</w:t>
            </w:r>
          </w:p>
        </w:tc>
        <w:tc>
          <w:tcPr>
            <w:tcW w:type="dxa" w:w="4968"/>
          </w:tcPr>
          <w:p>
            <w:r>
              <w:t>newsletter_ok existe encore et redevient nullable</w:t>
            </w:r>
          </w:p>
        </w:tc>
      </w:tr>
      <w:tr>
        <w:trPr>
          <w:cantSplit/>
        </w:trPr>
        <w:tc>
          <w:tcPr>
            <w:tcW w:type="dxa" w:w="4968"/>
          </w:tcPr>
          <w:p>
            <w:r>
              <w:t>Après DROP COLUMN</w:t>
            </w:r>
          </w:p>
        </w:tc>
        <w:tc>
          <w:tcPr>
            <w:tcW w:type="dxa" w:w="4968"/>
          </w:tcPr>
          <w:p>
            <w:r>
              <w:t>0 colonne newsletter_ok restante</w:t>
            </w:r>
          </w:p>
        </w:tc>
      </w:tr>
      <w:tr>
        <w:trPr>
          <w:cantSplit/>
        </w:trPr>
        <w:tc>
          <w:tcPr>
            <w:tcW w:type="dxa" w:w="4968"/>
          </w:tcPr>
          <w:p>
            <w:r>
              <w:t>Comparaison à la référence</w:t>
            </w:r>
          </w:p>
        </w:tc>
        <w:tc>
          <w:tcPr>
            <w:tcW w:type="dxa" w:w="4968"/>
          </w:tcPr>
          <w:p>
            <w:r>
              <w:t>0 écart historique</w:t>
            </w:r>
          </w:p>
        </w:tc>
      </w:tr>
    </w:tbl>
    <w:p>
      <w:r>
        <w:t>Décision : retenir cette méthode de migration progressive. Elle maintient la compatibilité pendant la transition, contrôle les données avant le NOT NULL, limite l’attente sur les verrous et permet un rollback vérifié. Cet atelier démontre la fiabilité d’une migration, pas un gain de performance.</w:t>
      </w:r>
    </w:p>
    <w:p>
      <w:pPr>
        <w:pStyle w:val="Heading1"/>
      </w:pPr>
      <w:r>
        <w:t>7. Atelier 7 — Optimisation de l’API et mutualisation des connexions</w:t>
      </w:r>
    </w:p>
    <w:p>
      <w:r>
        <w:t>Cet atelier étudie deux niveaux complémentaires : réduire le travail SQL produit par l’API (N+1 et pagination) et contrôler le nombre de connexions PostgreSQL avec PgBouncer. Le client de test 42 possède 100 commandes et l’API utilise l’ordre created_at DESC, id DESC.</w:t>
      </w:r>
    </w:p>
    <w:p>
      <w:pPr>
        <w:pStyle w:val="Heading2"/>
      </w:pPr>
      <w:r>
        <w:t>7.1 Correction du problème N+1</w:t>
      </w:r>
    </w:p>
    <w:p>
      <w:pPr>
        <w:spacing w:after="100"/>
        <w:ind w:left="240"/>
      </w:pPr>
      <w:r>
        <w:rPr>
          <w:rFonts w:ascii="Courier New" w:hAnsi="Courier New"/>
          <w:sz w:val="17"/>
        </w:rPr>
        <w:t>-- N+1 : une requête de lignes par commande</w:t>
        <w:br/>
        <w:t>SELECT commande_id, produit_id, qte, prix_unitaire</w:t>
        <w:br/>
        <w:t>FROM shopflow.lignes</w:t>
        <w:br/>
        <w:t>WHERE commande_id = $1</w:t>
        <w:br/>
        <w:t>ORDER BY produit_id;</w:t>
        <w:br/>
        <w:br/>
        <w:t>-- Groupé : une seule requête pour toute la page</w:t>
        <w:br/>
        <w:t>SELECT commande_id, produit_id, qte, prix_unitaire</w:t>
        <w:br/>
        <w:t>FROM shopflow.lignes</w:t>
        <w:br/>
        <w:t>WHERE commande_id = ANY($1::bigint[])</w:t>
        <w:br/>
        <w:t>ORDER BY commande_id, produit_id;</w:t>
      </w:r>
    </w:p>
    <w:tbl>
      <w:tblPr>
        <w:tblStyle w:val="TableGrid"/>
        <w:tblW w:type="auto" w:w="0"/>
        <w:tblLook w:firstColumn="1" w:firstRow="1" w:lastColumn="0" w:lastRow="0" w:noHBand="0" w:noVBand="1" w:val="04A0"/>
      </w:tblPr>
      <w:tblGrid>
        <w:gridCol w:w="4968"/>
        <w:gridCol w:w="4968"/>
      </w:tblGrid>
      <w:tr>
        <w:trPr>
          <w:cantSplit/>
        </w:trPr>
        <w:tc>
          <w:tcPr>
            <w:tcW w:type="dxa" w:w="4968"/>
          </w:tcPr>
          <w:p>
            <w:r>
              <w:t>Preuve</w:t>
            </w:r>
          </w:p>
        </w:tc>
        <w:tc>
          <w:tcPr>
            <w:tcW w:type="dxa" w:w="4968"/>
          </w:tcPr>
          <w:p>
            <w:r>
              <w:t>Résultat</w:t>
            </w:r>
          </w:p>
        </w:tc>
      </w:tr>
      <w:tr>
        <w:trPr>
          <w:cantSplit/>
        </w:trPr>
        <w:tc>
          <w:tcPr>
            <w:tcW w:type="dxa" w:w="4968"/>
          </w:tcPr>
          <w:p>
            <w:r>
              <w:t>N+1</w:t>
            </w:r>
          </w:p>
        </w:tc>
        <w:tc>
          <w:tcPr>
            <w:tcW w:type="dxa" w:w="4968"/>
          </w:tcPr>
          <w:p>
            <w:r>
              <w:t>21 SQL ; sqlMs 76,884 ms ; serveur 81,344 ms ; HTTP 143,018 ms</w:t>
            </w:r>
          </w:p>
        </w:tc>
      </w:tr>
      <w:tr>
        <w:trPr>
          <w:cantSplit/>
        </w:trPr>
        <w:tc>
          <w:tcPr>
            <w:tcW w:type="dxa" w:w="4968"/>
          </w:tcPr>
          <w:p>
            <w:r>
              <w:t>Groupé</w:t>
            </w:r>
          </w:p>
        </w:tc>
        <w:tc>
          <w:tcPr>
            <w:tcW w:type="dxa" w:w="4968"/>
          </w:tcPr>
          <w:p>
            <w:r>
              <w:t>2 SQL ; sqlMs 60,852 ms ; serveur 67,322 ms ; HTTP 144,114 ms</w:t>
            </w:r>
          </w:p>
        </w:tc>
      </w:tr>
      <w:tr>
        <w:trPr>
          <w:cantSplit/>
        </w:trPr>
        <w:tc>
          <w:tcPr>
            <w:tcW w:type="dxa" w:w="4968"/>
          </w:tcPr>
          <w:p>
            <w:r>
              <w:t>Équivalence</w:t>
            </w:r>
          </w:p>
        </w:tc>
        <w:tc>
          <w:tcPr>
            <w:tcW w:type="dxa" w:w="4968"/>
          </w:tcPr>
          <w:p>
            <w:r>
              <w:t>20 commandes, 3 lignes chacune, réponses identiques</w:t>
            </w:r>
          </w:p>
        </w:tc>
      </w:tr>
    </w:tbl>
    <w:p>
      <w:r>
        <w:t>Analyse : le chargement groupé évite 19 requêtes SQL et réduit ici la durée serveur d’environ 14,022 ms. En revanche, ces appels isolés ne montrent pas de gain HTTP. Décision : conserver le chargement groupé, sans annoncer un gain HTTP non démontré.</w:t>
      </w:r>
    </w:p>
    <w:p>
      <w:pPr>
        <w:pStyle w:val="Heading2"/>
      </w:pPr>
      <w:r>
        <w:t>7.2 Pagination OFFSET et curseur</w:t>
      </w:r>
    </w:p>
    <w:p>
      <w:pPr>
        <w:spacing w:after="100"/>
        <w:ind w:left="240"/>
      </w:pPr>
      <w:r>
        <w:rPr>
          <w:rFonts w:ascii="Courier New" w:hAnsi="Courier New"/>
          <w:sz w:val="17"/>
        </w:rPr>
        <w:t>-- OFFSET</w:t>
        <w:br/>
        <w:t>WHERE client_id = $1</w:t>
        <w:br/>
        <w:t>ORDER BY created_at DESC, id DESC</w:t>
        <w:br/>
        <w:t>LIMIT 21 OFFSET 20;</w:t>
        <w:br/>
        <w:br/>
        <w:t>-- Curseur</w:t>
        <w:br/>
        <w:t>WHERE client_id = $1</w:t>
        <w:br/>
        <w:t xml:space="preserve">  AND (created_at, id) &lt; ($2, $3)</w:t>
        <w:br/>
        <w:t>ORDER BY created_at DESC, id DESC</w:t>
        <w:br/>
        <w:t>LIMIT 21;</w:t>
      </w:r>
    </w:p>
    <w:tbl>
      <w:tblPr>
        <w:tblStyle w:val="TableGrid"/>
        <w:tblW w:type="auto" w:w="0"/>
        <w:tblLook w:firstColumn="1" w:firstRow="1" w:lastColumn="0" w:lastRow="0" w:noHBand="0" w:noVBand="1" w:val="04A0"/>
      </w:tblPr>
      <w:tblGrid>
        <w:gridCol w:w="4968"/>
        <w:gridCol w:w="4968"/>
      </w:tblGrid>
      <w:tr>
        <w:trPr>
          <w:cantSplit/>
        </w:trPr>
        <w:tc>
          <w:tcPr>
            <w:tcW w:type="dxa" w:w="4968"/>
          </w:tcPr>
          <w:p>
            <w:r>
              <w:t>Preuve</w:t>
            </w:r>
          </w:p>
        </w:tc>
        <w:tc>
          <w:tcPr>
            <w:tcW w:type="dxa" w:w="4968"/>
          </w:tcPr>
          <w:p>
            <w:r>
              <w:t>Résultat</w:t>
            </w:r>
          </w:p>
        </w:tc>
      </w:tr>
      <w:tr>
        <w:trPr>
          <w:cantSplit/>
        </w:trPr>
        <w:tc>
          <w:tcPr>
            <w:tcW w:type="dxa" w:w="4968"/>
          </w:tcPr>
          <w:p>
            <w:r>
              <w:t>OFFSET 20</w:t>
            </w:r>
          </w:p>
        </w:tc>
        <w:tc>
          <w:tcPr>
            <w:tcW w:type="dxa" w:w="4968"/>
          </w:tcPr>
          <w:p>
            <w:r>
              <w:t>2 SQL ; HTTP 92,359 ms ; sqlMs 25,770 ms ; serveur 28,667 ms</w:t>
            </w:r>
          </w:p>
        </w:tc>
      </w:tr>
      <w:tr>
        <w:trPr>
          <w:cantSplit/>
        </w:trPr>
        <w:tc>
          <w:tcPr>
            <w:tcW w:type="dxa" w:w="4968"/>
          </w:tcPr>
          <w:p>
            <w:r>
              <w:t>Curseur</w:t>
            </w:r>
          </w:p>
        </w:tc>
        <w:tc>
          <w:tcPr>
            <w:tcW w:type="dxa" w:w="4968"/>
          </w:tcPr>
          <w:p>
            <w:r>
              <w:t>2 SQL ; HTTP 70,890 ms ; sqlMs 42,684 ms ; serveur 46,102 ms</w:t>
            </w:r>
          </w:p>
        </w:tc>
      </w:tr>
      <w:tr>
        <w:trPr>
          <w:cantSplit/>
        </w:trPr>
        <w:tc>
          <w:tcPr>
            <w:tcW w:type="dxa" w:w="4968"/>
          </w:tcPr>
          <w:p>
            <w:r>
              <w:t>Équivalence</w:t>
            </w:r>
          </w:p>
        </w:tc>
        <w:tc>
          <w:tcPr>
            <w:tcW w:type="dxa" w:w="4968"/>
          </w:tcPr>
          <w:p>
            <w:r>
              <w:t>mêmes 20 commandes et mêmes relations</w:t>
            </w:r>
          </w:p>
        </w:tc>
      </w:tr>
    </w:tbl>
    <w:p>
      <w:r>
        <w:t>Analyse : aucun gain uniforme n’est démontré sur ce petit jeu de 100 commandes. Le curseur reste adapté à une navigation séquentielle et évite de dépendre d’un décalage croissant, mais un jeu plus volumineux serait nécessaire pour mesurer cet avantage.</w:t>
      </w:r>
    </w:p>
    <w:p>
      <w:pPr>
        <w:pStyle w:val="Heading2"/>
      </w:pPr>
      <w:r>
        <w:t>7.3 Stabilité du curseur avec des dates identiques</w:t>
      </w:r>
    </w:p>
    <w:tbl>
      <w:tblPr>
        <w:tblStyle w:val="TableGrid"/>
        <w:tblW w:type="auto" w:w="0"/>
        <w:tblLook w:firstColumn="1" w:firstRow="1" w:lastColumn="0" w:lastRow="0" w:noHBand="0" w:noVBand="1" w:val="04A0"/>
      </w:tblPr>
      <w:tblGrid>
        <w:gridCol w:w="4968"/>
        <w:gridCol w:w="4968"/>
      </w:tblGrid>
      <w:tr>
        <w:trPr>
          <w:cantSplit/>
        </w:trPr>
        <w:tc>
          <w:tcPr>
            <w:tcW w:type="dxa" w:w="4968"/>
          </w:tcPr>
          <w:p>
            <w:r>
              <w:t>Preuve</w:t>
            </w:r>
          </w:p>
        </w:tc>
        <w:tc>
          <w:tcPr>
            <w:tcW w:type="dxa" w:w="4968"/>
          </w:tcPr>
          <w:p>
            <w:r>
              <w:t>Résultat</w:t>
            </w:r>
          </w:p>
        </w:tc>
      </w:tr>
      <w:tr>
        <w:trPr>
          <w:cantSplit/>
        </w:trPr>
        <w:tc>
          <w:tcPr>
            <w:tcW w:type="dxa" w:w="4968"/>
          </w:tcPr>
          <w:p>
            <w:r>
              <w:t>Date commune</w:t>
            </w:r>
          </w:p>
        </w:tc>
        <w:tc>
          <w:tcPr>
            <w:tcW w:type="dxa" w:w="4968"/>
          </w:tcPr>
          <w:p>
            <w:r>
              <w:t>commandes 2042, 1042 et 42</w:t>
            </w:r>
          </w:p>
        </w:tc>
      </w:tr>
      <w:tr>
        <w:trPr>
          <w:cantSplit/>
        </w:trPr>
        <w:tc>
          <w:tcPr>
            <w:tcW w:type="dxa" w:w="4968"/>
          </w:tcPr>
          <w:p>
            <w:r>
              <w:t>Page 1, limite 2</w:t>
            </w:r>
          </w:p>
        </w:tc>
        <w:tc>
          <w:tcPr>
            <w:tcW w:type="dxa" w:w="4968"/>
          </w:tcPr>
          <w:p>
            <w:r>
              <w:t>2042, 1042</w:t>
            </w:r>
          </w:p>
        </w:tc>
      </w:tr>
      <w:tr>
        <w:trPr>
          <w:cantSplit/>
        </w:trPr>
        <w:tc>
          <w:tcPr>
            <w:tcW w:type="dxa" w:w="4968"/>
          </w:tcPr>
          <w:p>
            <w:r>
              <w:t>Page 2</w:t>
            </w:r>
          </w:p>
        </w:tc>
        <w:tc>
          <w:tcPr>
            <w:tcW w:type="dxa" w:w="4968"/>
          </w:tcPr>
          <w:p>
            <w:r>
              <w:t>42, 86042</w:t>
            </w:r>
          </w:p>
        </w:tc>
      </w:tr>
      <w:tr>
        <w:trPr>
          <w:cantSplit/>
        </w:trPr>
        <w:tc>
          <w:tcPr>
            <w:tcW w:type="dxa" w:w="4968"/>
          </w:tcPr>
          <w:p>
            <w:r>
              <w:t>Parcours complet</w:t>
            </w:r>
          </w:p>
        </w:tc>
        <w:tc>
          <w:tcPr>
            <w:tcW w:type="dxa" w:w="4968"/>
          </w:tcPr>
          <w:p>
            <w:r>
              <w:t>5 pages ; 100 identifiants ; 100 uniques</w:t>
            </w:r>
          </w:p>
        </w:tc>
      </w:tr>
    </w:tbl>
    <w:p>
      <w:r>
        <w:t>Le curseur utilise le tuple (created_at, id). L’identifiant départage les commandes ayant exactement la même date. Une condition basée uniquement sur created_at aurait pu perdre la commande 42 après la commande 1042. Décision : conserver un ordre déterministe basé sur la date et l’identifiant.</w:t>
      </w:r>
    </w:p>
    <w:p>
      <w:pPr>
        <w:pStyle w:val="Heading2"/>
      </w:pPr>
      <w:r>
        <w:t>7.4 Contrôle des droits</w:t>
      </w:r>
    </w:p>
    <w:tbl>
      <w:tblPr>
        <w:tblStyle w:val="TableGrid"/>
        <w:tblW w:type="auto" w:w="0"/>
        <w:tblLook w:firstColumn="1" w:firstRow="1" w:lastColumn="0" w:lastRow="0" w:noHBand="0" w:noVBand="1" w:val="04A0"/>
      </w:tblPr>
      <w:tblGrid>
        <w:gridCol w:w="4968"/>
        <w:gridCol w:w="4968"/>
      </w:tblGrid>
      <w:tr>
        <w:trPr>
          <w:cantSplit/>
        </w:trPr>
        <w:tc>
          <w:tcPr>
            <w:tcW w:type="dxa" w:w="4968"/>
          </w:tcPr>
          <w:p>
            <w:r>
              <w:t>Preuve</w:t>
            </w:r>
          </w:p>
        </w:tc>
        <w:tc>
          <w:tcPr>
            <w:tcW w:type="dxa" w:w="4968"/>
          </w:tcPr>
          <w:p>
            <w:r>
              <w:t>Résultat</w:t>
            </w:r>
          </w:p>
        </w:tc>
      </w:tr>
      <w:tr>
        <w:trPr>
          <w:cantSplit/>
        </w:trPr>
        <w:tc>
          <w:tcPr>
            <w:tcW w:type="dxa" w:w="4968"/>
          </w:tcPr>
          <w:p>
            <w:r>
              <w:t>Sans jeton</w:t>
            </w:r>
          </w:p>
        </w:tc>
        <w:tc>
          <w:tcPr>
            <w:tcW w:type="dxa" w:w="4968"/>
          </w:tcPr>
          <w:p>
            <w:r>
              <w:t>HTTP 401</w:t>
            </w:r>
          </w:p>
        </w:tc>
      </w:tr>
      <w:tr>
        <w:trPr>
          <w:cantSplit/>
        </w:trPr>
        <w:tc>
          <w:tcPr>
            <w:tcW w:type="dxa" w:w="4968"/>
          </w:tcPr>
          <w:p>
            <w:r>
              <w:t>client_id=43 injecté dans l’URL</w:t>
            </w:r>
          </w:p>
        </w:tc>
        <w:tc>
          <w:tcPr>
            <w:tcW w:type="dxa" w:w="4968"/>
          </w:tcPr>
          <w:p>
            <w:r>
              <w:t>HTTP 400</w:t>
            </w:r>
          </w:p>
        </w:tc>
      </w:tr>
      <w:tr>
        <w:trPr>
          <w:cantSplit/>
        </w:trPr>
        <w:tc>
          <w:tcPr>
            <w:tcW w:type="dxa" w:w="4968"/>
          </w:tcPr>
          <w:p>
            <w:r>
              <w:t>Source du client autorisé</w:t>
            </w:r>
          </w:p>
        </w:tc>
        <w:tc>
          <w:tcPr>
            <w:tcW w:type="dxa" w:w="4968"/>
          </w:tcPr>
          <w:p>
            <w:r>
              <w:t>contexte serveur LAB_CLIENT_ID=42</w:t>
            </w:r>
          </w:p>
        </w:tc>
      </w:tr>
      <w:tr>
        <w:trPr>
          <w:cantSplit/>
        </w:trPr>
        <w:tc>
          <w:tcPr>
            <w:tcW w:type="dxa" w:w="4968"/>
          </w:tcPr>
          <w:p>
            <w:r>
              <w:t>Restauration</w:t>
            </w:r>
          </w:p>
        </w:tc>
        <w:tc>
          <w:tcPr>
            <w:tcW w:type="dxa" w:w="4968"/>
          </w:tcPr>
          <w:p>
            <w:r>
              <w:t>3 dates restaurées</w:t>
            </w:r>
          </w:p>
        </w:tc>
      </w:tr>
    </w:tbl>
    <w:p>
      <w:r>
        <w:t>La signature du curseur protège son contenu contre l’altération, mais elle ne remplace pas le contrôle d’accès. Le client autorisé doit toujours provenir du contexte serveur.</w:t>
      </w:r>
    </w:p>
    <w:p>
      <w:pPr>
        <w:pStyle w:val="Heading2"/>
      </w:pPr>
      <w:r>
        <w:t>7.5 Mutualisation avec PgBouncer</w:t>
      </w:r>
    </w:p>
    <w:p>
      <w:pPr>
        <w:spacing w:after="100"/>
        <w:ind w:left="240"/>
      </w:pPr>
      <w:r>
        <w:rPr>
          <w:rFonts w:ascii="Courier New" w:hAnsi="Courier New"/>
          <w:sz w:val="17"/>
        </w:rPr>
        <w:t>PostgreSQL max_connections = 60</w:t>
        <w:br/>
        <w:t>PgBouncer pool_mode = transaction</w:t>
        <w:br/>
        <w:t>default_pool_size = 5</w:t>
        <w:br/>
        <w:t>max_client_conn = 200</w:t>
        <w:br/>
        <w:t>reserve_pool_size = 0</w:t>
      </w:r>
    </w:p>
    <w:p>
      <w:r>
        <w:t>En mode transaction, une connexion PostgreSQL est prêtée pendant la transaction puis remise dans le pool après COMMIT ou ROLLBACK. Le scénario pédagogique contient volontairement pg_sleep(0.05), puis une pause cliente de 100 ms.</w:t>
      </w:r>
    </w:p>
    <w:p>
      <w:pPr>
        <w:pStyle w:val="Heading2"/>
      </w:pPr>
      <w:r>
        <w:t>7.6 Charge avec 40 clients persistants</w:t>
      </w:r>
    </w:p>
    <w:tbl>
      <w:tblPr>
        <w:tblStyle w:val="TableGrid"/>
        <w:tblW w:type="auto" w:w="0"/>
        <w:tblLook w:firstColumn="1" w:firstRow="1" w:lastColumn="0" w:lastRow="0" w:noHBand="0" w:noVBand="1" w:val="04A0"/>
      </w:tblPr>
      <w:tblGrid>
        <w:gridCol w:w="4968"/>
        <w:gridCol w:w="4968"/>
      </w:tblGrid>
      <w:tr>
        <w:trPr>
          <w:cantSplit/>
        </w:trPr>
        <w:tc>
          <w:tcPr>
            <w:tcW w:type="dxa" w:w="4968"/>
          </w:tcPr>
          <w:p>
            <w:r>
              <w:t>Preuve</w:t>
            </w:r>
          </w:p>
        </w:tc>
        <w:tc>
          <w:tcPr>
            <w:tcW w:type="dxa" w:w="4968"/>
          </w:tcPr>
          <w:p>
            <w:r>
              <w:t>Résultat</w:t>
            </w:r>
          </w:p>
        </w:tc>
      </w:tr>
      <w:tr>
        <w:trPr>
          <w:cantSplit/>
        </w:trPr>
        <w:tc>
          <w:tcPr>
            <w:tcW w:type="dxa" w:w="4968"/>
          </w:tcPr>
          <w:p>
            <w:r>
              <w:t>Direct</w:t>
            </w:r>
          </w:p>
        </w:tc>
        <w:tc>
          <w:tcPr>
            <w:tcW w:type="dxa" w:w="4968"/>
          </w:tcPr>
          <w:p>
            <w:r>
              <w:t>TPS médian 256,494 ; latence 155,461 ms ; 40 connexions serveur</w:t>
            </w:r>
          </w:p>
        </w:tc>
      </w:tr>
      <w:tr>
        <w:trPr>
          <w:cantSplit/>
        </w:trPr>
        <w:tc>
          <w:tcPr>
            <w:tcW w:type="dxa" w:w="4968"/>
          </w:tcPr>
          <w:p>
            <w:r>
              <w:t>PgBouncer</w:t>
            </w:r>
          </w:p>
        </w:tc>
        <w:tc>
          <w:tcPr>
            <w:tcW w:type="dxa" w:w="4968"/>
          </w:tcPr>
          <w:p>
            <w:r>
              <w:t>TPS médian 94,615 ; latence 418,915 ms ; 5 connexions serveur</w:t>
            </w:r>
          </w:p>
        </w:tc>
      </w:tr>
      <w:tr>
        <w:trPr>
          <w:cantSplit/>
        </w:trPr>
        <w:tc>
          <w:tcPr>
            <w:tcW w:type="dxa" w:w="4968"/>
          </w:tcPr>
          <w:p>
            <w:r>
              <w:t>Attente observée</w:t>
            </w:r>
          </w:p>
        </w:tc>
        <w:tc>
          <w:tcPr>
            <w:tcW w:type="dxa" w:w="4968"/>
          </w:tcPr>
          <w:p>
            <w:r>
              <w:t>cl_waiting=25 ; sv_active=5 ; sv_idle=0</w:t>
            </w:r>
          </w:p>
        </w:tc>
      </w:tr>
    </w:tbl>
    <w:p>
      <w:r>
        <w:t>Analyse : PgBouncer réduit ici 40 connexions PostgreSQL à 5, mais le pool devient un goulot d’étranglement et les clients attendent. Avec cinq connexions occupées environ 50 ms par transaction, le scénario artificiel explique un plafond proche de 100 transactions/s. Cette valeur ne représente pas une capacité de production.</w:t>
      </w:r>
    </w:p>
    <w:p>
      <w:pPr>
        <w:pStyle w:val="Heading2"/>
      </w:pPr>
      <w:r>
        <w:t>7.7 Reconnexions et saturation</w:t>
      </w:r>
    </w:p>
    <w:tbl>
      <w:tblPr>
        <w:tblStyle w:val="TableGrid"/>
        <w:tblW w:type="auto" w:w="0"/>
        <w:tblLook w:firstColumn="1" w:firstRow="1" w:lastColumn="0" w:lastRow="0" w:noHBand="0" w:noVBand="1" w:val="04A0"/>
      </w:tblPr>
      <w:tblGrid>
        <w:gridCol w:w="4968"/>
        <w:gridCol w:w="4968"/>
      </w:tblGrid>
      <w:tr>
        <w:trPr>
          <w:cantSplit/>
        </w:trPr>
        <w:tc>
          <w:tcPr>
            <w:tcW w:type="dxa" w:w="4968"/>
          </w:tcPr>
          <w:p>
            <w:r>
              <w:t>Preuve</w:t>
            </w:r>
          </w:p>
        </w:tc>
        <w:tc>
          <w:tcPr>
            <w:tcW w:type="dxa" w:w="4968"/>
          </w:tcPr>
          <w:p>
            <w:r>
              <w:t>Résultat</w:t>
            </w:r>
          </w:p>
        </w:tc>
      </w:tr>
      <w:tr>
        <w:trPr>
          <w:cantSplit/>
        </w:trPr>
        <w:tc>
          <w:tcPr>
            <w:tcW w:type="dxa" w:w="4968"/>
          </w:tcPr>
          <w:p>
            <w:r>
              <w:t>10 clients — Direct</w:t>
            </w:r>
          </w:p>
        </w:tc>
        <w:tc>
          <w:tcPr>
            <w:tcW w:type="dxa" w:w="4968"/>
          </w:tcPr>
          <w:p>
            <w:r>
              <w:t>TPS médian 48,414 ; latence 173,841 ms ; 10 connexions</w:t>
            </w:r>
          </w:p>
        </w:tc>
      </w:tr>
      <w:tr>
        <w:trPr>
          <w:cantSplit/>
        </w:trPr>
        <w:tc>
          <w:tcPr>
            <w:tcW w:type="dxa" w:w="4968"/>
          </w:tcPr>
          <w:p>
            <w:r>
              <w:t>10 clients — PgBouncer</w:t>
            </w:r>
          </w:p>
        </w:tc>
        <w:tc>
          <w:tcPr>
            <w:tcW w:type="dxa" w:w="4968"/>
          </w:tcPr>
          <w:p>
            <w:r>
              <w:t>TPS médian 50,487 ; latence 175,122 ms ; 5 connexions</w:t>
            </w:r>
          </w:p>
        </w:tc>
      </w:tr>
      <w:tr>
        <w:trPr>
          <w:cantSplit/>
        </w:trPr>
        <w:tc>
          <w:tcPr>
            <w:tcW w:type="dxa" w:w="4968"/>
          </w:tcPr>
          <w:p>
            <w:r>
              <w:t>80 clients — Direct</w:t>
            </w:r>
          </w:p>
        </w:tc>
        <w:tc>
          <w:tcPr>
            <w:tcW w:type="dxa" w:w="4968"/>
          </w:tcPr>
          <w:p>
            <w:r>
              <w:t>refus PostgreSQL ; code 1 ; essai interrompu</w:t>
            </w:r>
          </w:p>
        </w:tc>
      </w:tr>
      <w:tr>
        <w:trPr>
          <w:cantSplit/>
        </w:trPr>
        <w:tc>
          <w:tcPr>
            <w:tcW w:type="dxa" w:w="4968"/>
          </w:tcPr>
          <w:p>
            <w:r>
              <w:t>80 clients — PgBouncer</w:t>
            </w:r>
          </w:p>
        </w:tc>
        <w:tc>
          <w:tcPr>
            <w:tcW w:type="dxa" w:w="4968"/>
          </w:tcPr>
          <w:p>
            <w:r>
              <w:t>5 sessions ; 65 clients en attente ; 1 917 transactions ; 0 échec ; 93,828 TPS</w:t>
            </w:r>
          </w:p>
        </w:tc>
      </w:tr>
    </w:tbl>
    <w:p>
      <w:r>
        <w:t>À 10 clients, PgBouncer réduit le nombre de connexions sans baisse uniforme de latence. À 80 clients, il évite le refus observé en connexion directe, mais le surplus de clients attend : le pooling protège le nombre de connexions, il ne crée pas de capacité de traitement supplémentaire.</w:t>
      </w:r>
    </w:p>
    <w:p>
      <w:pPr>
        <w:pStyle w:val="Heading2"/>
      </w:pPr>
      <w:r>
        <w:t>7.8 Décisions et réponses aux questions</w:t>
      </w:r>
    </w:p>
    <w:p>
      <w:r>
        <w:t>Décisions : retenir le chargement groupé (21 → 2 SQL), conserver le curseur (created_at, id) pour un ordre stable, et utiliser PgBouncer pour maîtriser les connexions lorsque plusieurs clients ou instances partagent PostgreSQL. PgBouncer ne remplace ni les index ni la correction du N+1.</w:t>
      </w:r>
    </w:p>
    <w:p>
      <w:r>
        <w:t>Le N+1 effectue une lecture supplémentaire des lignes pour chaque commande. Les relations sont chargées après avoir déterminé les commandes de la page afin qu’un LIMIT appliqué à une jointure ne coupe pas les lignes d’une commande ou ne réduise pas le nombre de commandes. Le curseur contient date et identifiant pour gérer les égalités ; sa signature ne remplace pas l’autorisation. Les mesures démontrent une réduction du nombre de requêtes et des connexions, mais pas une amélioration générale du temps de réponse.</w:t>
      </w:r>
    </w:p>
    <w:p>
      <w:r>
        <w:t>Un pg.Pool Node.js appartient à un processus applicatif, alors que PgBouncer peut mutualiser les connexions entre plusieurs instances. En mode transaction, de nombreux clients peuvent partager quelques connexions serveur parce qu’elles sont rendues au pool à la fin de chaque transaction. La baisse de 40 à 5 connexions prouve la mutualisation ; cl_waiting et les 65 clients en attente lors de la saturation prouvent l’attente. Le réglage du pool doit donc être dimensionné et surveillé plutôt que simplement augmenté.</w:t>
      </w:r>
    </w:p>
    <w:p>
      <w:pPr>
        <w:pStyle w:val="Heading1"/>
      </w:pPr>
      <w:r>
        <w:t>8. Atelier 8 — Cache Redis et fraîcheur</w:t>
      </w:r>
    </w:p>
    <w:p>
      <w:r>
        <w:t>Objectif : éviter les lectures PostgreSQL répétées sans perdre la maîtrise de la fraîcheur. Produit 42, prix initial 57,50, clé shopflow:produit:v1:42 et TTL de séance 60 s. PostgreSQL reste la source de vérité.</w:t>
      </w:r>
    </w:p>
    <w:p>
      <w:pPr>
        <w:pStyle w:val="Heading2"/>
      </w:pPr>
      <w:r>
        <w:t>8.1 Cache-aside : miss et hit</w:t>
      </w:r>
    </w:p>
    <w:p>
      <w:pPr>
        <w:ind w:left="240"/>
      </w:pPr>
      <w:r>
        <w:rPr>
          <w:rFonts w:ascii="Courier New" w:hAnsi="Courier New"/>
          <w:sz w:val="16"/>
        </w:rPr>
        <w:t>SELECT id::text AS id, nom, prix::text AS prix, stock, attributs</w:t>
        <w:br/>
        <w:t>FROM shopflow.produits WHERE id=$1;</w:t>
      </w:r>
    </w:p>
    <w:p>
      <w:r>
        <w:t>Sur un miss, l’API lit PostgreSQL puis alimente Redis (SET EX 60). Sur un hit, elle renvoie la copie sans SELECT. Cinq paires ont été mesurées en supprimant la clé avant chaque paire.</w:t>
      </w:r>
    </w:p>
    <w:tbl>
      <w:tblPr>
        <w:tblStyle w:val="TableGrid"/>
        <w:tblW w:type="auto" w:w="0"/>
        <w:tblLook w:firstColumn="1" w:firstRow="1" w:lastColumn="0" w:lastRow="0" w:noHBand="0" w:noVBand="1" w:val="04A0"/>
      </w:tblPr>
      <w:tblGrid>
        <w:gridCol w:w="4968"/>
        <w:gridCol w:w="4968"/>
      </w:tblGrid>
      <w:tr>
        <w:tc>
          <w:tcPr>
            <w:tcW w:type="dxa" w:w="4968"/>
          </w:tcPr>
          <w:p>
            <w:r>
              <w:t>Chemin</w:t>
            </w:r>
          </w:p>
        </w:tc>
        <w:tc>
          <w:tcPr>
            <w:tcW w:type="dxa" w:w="4968"/>
          </w:tcPr>
          <w:p>
            <w:r>
              <w:t>Résultat</w:t>
            </w:r>
          </w:p>
        </w:tc>
      </w:tr>
      <w:tr>
        <w:tc>
          <w:tcPr>
            <w:tcW w:type="dxa" w:w="4968"/>
          </w:tcPr>
          <w:p>
            <w:r>
              <w:t>Miss</w:t>
            </w:r>
          </w:p>
        </w:tc>
        <w:tc>
          <w:tcPr>
            <w:tcW w:type="dxa" w:w="4968"/>
          </w:tcPr>
          <w:p>
            <w:r>
              <w:t>1 SQL ; médiane HTTP 26,077 ms ; moyenne 35,413 ms</w:t>
            </w:r>
          </w:p>
        </w:tc>
      </w:tr>
      <w:tr>
        <w:tc>
          <w:tcPr>
            <w:tcW w:type="dxa" w:w="4968"/>
          </w:tcPr>
          <w:p>
            <w:r>
              <w:t>Hit</w:t>
            </w:r>
          </w:p>
        </w:tc>
        <w:tc>
          <w:tcPr>
            <w:tcW w:type="dxa" w:w="4968"/>
          </w:tcPr>
          <w:p>
            <w:r>
              <w:t>0 SQL ; médiane HTTP 22,705 ms ; moyenne 22,543 ms</w:t>
            </w:r>
          </w:p>
        </w:tc>
      </w:tr>
      <w:tr>
        <w:tc>
          <w:tcPr>
            <w:tcW w:type="dxa" w:w="4968"/>
          </w:tcPr>
          <w:p>
            <w:r>
              <w:t>Contenu</w:t>
            </w:r>
          </w:p>
        </w:tc>
        <w:tc>
          <w:tcPr>
            <w:tcW w:type="dxa" w:w="4968"/>
          </w:tcPr>
          <w:p>
            <w:r>
              <w:t>Identique ; HTTP 200 pour les dix appels</w:t>
            </w:r>
          </w:p>
        </w:tc>
      </w:tr>
    </w:tbl>
    <w:p>
      <w:r>
        <w:t>Analyse : médiane HTTP inférieure de 12,9 % sur ces cinq paires. Le premier miss (73,709 ms) augmente la moyenne ; ce petit échantillon ne prouve pas un gain généralisable.</w:t>
      </w:r>
    </w:p>
    <w:p>
      <w:pPr>
        <w:pStyle w:val="Heading2"/>
      </w:pPr>
      <w:r>
        <w:t>8.2 Copie périmée et invalidation</w:t>
      </w:r>
    </w:p>
    <w:p>
      <w:pPr>
        <w:ind w:left="240"/>
      </w:pPr>
      <w:r>
        <w:rPr>
          <w:rFonts w:ascii="Courier New" w:hAnsi="Courier New"/>
          <w:sz w:val="16"/>
        </w:rPr>
        <w:t>UPDATE shopflow.produits SET prix=24.90 WHERE id=42 RETURNING id,prix;</w:t>
        <w:br/>
        <w:t>-- Puis suppression de la clé Redis : DEL shopflow:produit:v1:42</w:t>
      </w:r>
    </w:p>
    <w:tbl>
      <w:tblPr>
        <w:tblStyle w:val="TableGrid"/>
        <w:tblW w:type="auto" w:w="0"/>
        <w:tblLook w:firstColumn="1" w:firstRow="1" w:lastColumn="0" w:lastRow="0" w:noHBand="0" w:noVBand="1" w:val="04A0"/>
      </w:tblPr>
      <w:tblGrid>
        <w:gridCol w:w="4968"/>
        <w:gridCol w:w="4968"/>
      </w:tblGrid>
      <w:tr>
        <w:tc>
          <w:tcPr>
            <w:tcW w:type="dxa" w:w="4968"/>
          </w:tcPr>
          <w:p>
            <w:r>
              <w:t>État</w:t>
            </w:r>
          </w:p>
        </w:tc>
        <w:tc>
          <w:tcPr>
            <w:tcW w:type="dxa" w:w="4968"/>
          </w:tcPr>
          <w:p>
            <w:r>
              <w:t>Observation</w:t>
            </w:r>
          </w:p>
        </w:tc>
      </w:tr>
      <w:tr>
        <w:tc>
          <w:tcPr>
            <w:tcW w:type="dxa" w:w="4968"/>
          </w:tcPr>
          <w:p>
            <w:r>
              <w:t>UPDATE direct à 19,90</w:t>
            </w:r>
          </w:p>
        </w:tc>
        <w:tc>
          <w:tcPr>
            <w:tcW w:type="dxa" w:w="4968"/>
          </w:tcPr>
          <w:p>
            <w:r>
              <w:t>L’API sert encore 57,50 depuis Redis (hit, 0 SQL)</w:t>
            </w:r>
          </w:p>
        </w:tc>
      </w:tr>
      <w:tr>
        <w:tc>
          <w:tcPr>
            <w:tcW w:type="dxa" w:w="4968"/>
          </w:tcPr>
          <w:p>
            <w:r>
              <w:t>Nouvel UPDATE direct à 24,90</w:t>
            </w:r>
          </w:p>
        </w:tc>
        <w:tc>
          <w:tcPr>
            <w:tcW w:type="dxa" w:w="4968"/>
          </w:tcPr>
          <w:p>
            <w:r>
              <w:t>L’API sert encore 19,90 depuis Redis (hit, 0 SQL)</w:t>
            </w:r>
          </w:p>
        </w:tc>
      </w:tr>
      <w:tr>
        <w:tc>
          <w:tcPr>
            <w:tcW w:type="dxa" w:w="4968"/>
          </w:tcPr>
          <w:p>
            <w:r>
              <w:t>DEL=1 puis GET</w:t>
            </w:r>
          </w:p>
        </w:tc>
        <w:tc>
          <w:tcPr>
            <w:tcW w:type="dxa" w:w="4968"/>
          </w:tcPr>
          <w:p>
            <w:r>
              <w:t>Prix 24,90 ; miss ; 1 SQL</w:t>
            </w:r>
          </w:p>
        </w:tc>
      </w:tr>
    </w:tbl>
    <w:p>
      <w:r>
        <w:t>Analyse : modifier PostgreSQL directement n’invalide pas Redis. Une copie ancienne reste visible jusqu’à suppression ou expiration.</w:t>
      </w:r>
    </w:p>
    <w:p>
      <w:pPr>
        <w:pStyle w:val="Heading2"/>
      </w:pPr>
      <w:r>
        <w:t>8.3 PATCH avec invalidation automatique</w:t>
      </w:r>
    </w:p>
    <w:p>
      <w:pPr>
        <w:ind w:left="240"/>
      </w:pPr>
      <w:r>
        <w:rPr>
          <w:rFonts w:ascii="Courier New" w:hAnsi="Courier New"/>
          <w:sz w:val="16"/>
        </w:rPr>
        <w:t>UPDATE shopflow.produits SET prix=$2::numeric</w:t>
        <w:br/>
        <w:t>WHERE id=$1 RETURNING id::text AS id, prix::text AS prix;</w:t>
      </w:r>
    </w:p>
    <w:tbl>
      <w:tblPr>
        <w:tblStyle w:val="TableGrid"/>
        <w:tblW w:type="auto" w:w="0"/>
        <w:tblLook w:firstColumn="1" w:firstRow="1" w:lastColumn="0" w:lastRow="0" w:noHBand="0" w:noVBand="1" w:val="04A0"/>
      </w:tblPr>
      <w:tblGrid>
        <w:gridCol w:w="4968"/>
        <w:gridCol w:w="4968"/>
      </w:tblGrid>
      <w:tr>
        <w:tc>
          <w:tcPr>
            <w:tcW w:type="dxa" w:w="4968"/>
          </w:tcPr>
          <w:p>
            <w:r>
              <w:t>Appel</w:t>
            </w:r>
          </w:p>
        </w:tc>
        <w:tc>
          <w:tcPr>
            <w:tcW w:type="dxa" w:w="4968"/>
          </w:tcPr>
          <w:p>
            <w:r>
              <w:t>Résultat</w:t>
            </w:r>
          </w:p>
        </w:tc>
      </w:tr>
      <w:tr>
        <w:tc>
          <w:tcPr>
            <w:tcW w:type="dxa" w:w="4968"/>
          </w:tcPr>
          <w:p>
            <w:r>
              <w:t>PATCH prix 29,90</w:t>
            </w:r>
          </w:p>
        </w:tc>
        <w:tc>
          <w:tcPr>
            <w:tcW w:type="dxa" w:w="4968"/>
          </w:tcPr>
          <w:p>
            <w:r>
              <w:t>HTTP 200 ; 1 SQL ; invalidation=ok ; HTTP 43,809 ms</w:t>
            </w:r>
          </w:p>
        </w:tc>
      </w:tr>
      <w:tr>
        <w:tc>
          <w:tcPr>
            <w:tcW w:type="dxa" w:w="4968"/>
          </w:tcPr>
          <w:p>
            <w:r>
              <w:t>Premier GET</w:t>
            </w:r>
          </w:p>
        </w:tc>
        <w:tc>
          <w:tcPr>
            <w:tcW w:type="dxa" w:w="4968"/>
          </w:tcPr>
          <w:p>
            <w:r>
              <w:t>29,90 ; miss ; 1 SQL ; HTTP 27,700 ms</w:t>
            </w:r>
          </w:p>
        </w:tc>
      </w:tr>
      <w:tr>
        <w:tc>
          <w:tcPr>
            <w:tcW w:type="dxa" w:w="4968"/>
          </w:tcPr>
          <w:p>
            <w:r>
              <w:t>Deuxième GET</w:t>
            </w:r>
          </w:p>
        </w:tc>
        <w:tc>
          <w:tcPr>
            <w:tcW w:type="dxa" w:w="4968"/>
          </w:tcPr>
          <w:p>
            <w:r>
              <w:t>29,90 ; hit ; 0 SQL ; HTTP 26,199 ms</w:t>
            </w:r>
          </w:p>
        </w:tc>
      </w:tr>
    </w:tbl>
    <w:p>
      <w:r>
        <w:t>Décision : invalider la clé après validation de l’écriture (après COMMIT si transaction explicite). Un échec de DEL ne signifie pas que l’UPDATE a été annulé.</w:t>
      </w:r>
    </w:p>
    <w:p>
      <w:pPr>
        <w:pStyle w:val="Heading2"/>
      </w:pPr>
      <w:r>
        <w:t>8.4 Expiration et panne de Redis</w:t>
      </w:r>
    </w:p>
    <w:tbl>
      <w:tblPr>
        <w:tblStyle w:val="TableGrid"/>
        <w:tblW w:type="auto" w:w="0"/>
        <w:tblLook w:firstColumn="1" w:firstRow="1" w:lastColumn="0" w:lastRow="0" w:noHBand="0" w:noVBand="1" w:val="04A0"/>
      </w:tblPr>
      <w:tblGrid>
        <w:gridCol w:w="4968"/>
        <w:gridCol w:w="4968"/>
      </w:tblGrid>
      <w:tr>
        <w:tc>
          <w:tcPr>
            <w:tcW w:type="dxa" w:w="4968"/>
          </w:tcPr>
          <w:p>
            <w:r>
              <w:t>Scénario</w:t>
            </w:r>
          </w:p>
        </w:tc>
        <w:tc>
          <w:tcPr>
            <w:tcW w:type="dxa" w:w="4968"/>
          </w:tcPr>
          <w:p>
            <w:r>
              <w:t>Résultat</w:t>
            </w:r>
          </w:p>
        </w:tc>
      </w:tr>
      <w:tr>
        <w:tc>
          <w:tcPr>
            <w:tcW w:type="dxa" w:w="4968"/>
          </w:tcPr>
          <w:p>
            <w:r>
              <w:t>TTL après attente</w:t>
            </w:r>
          </w:p>
        </w:tc>
        <w:tc>
          <w:tcPr>
            <w:tcW w:type="dxa" w:w="4968"/>
          </w:tcPr>
          <w:p>
            <w:r>
              <w:t>60 → −2 ; puis miss et 1 SELECT</w:t>
            </w:r>
          </w:p>
        </w:tc>
      </w:tr>
      <w:tr>
        <w:tc>
          <w:tcPr>
            <w:tcW w:type="dxa" w:w="4968"/>
          </w:tcPr>
          <w:p>
            <w:r>
              <w:t>Redis arrêté</w:t>
            </w:r>
          </w:p>
        </w:tc>
        <w:tc>
          <w:tcPr>
            <w:tcW w:type="dxa" w:w="4968"/>
          </w:tcPr>
          <w:p>
            <w:r>
              <w:t>HTTP 200 ; cache indisponible ; 1 SQL ; HTTP 58,543 ms</w:t>
            </w:r>
          </w:p>
        </w:tc>
      </w:tr>
      <w:tr>
        <w:tc>
          <w:tcPr>
            <w:tcW w:type="dxa" w:w="4968"/>
          </w:tcPr>
          <w:p>
            <w:r>
              <w:t>Redis redémarré</w:t>
            </w:r>
          </w:p>
        </w:tc>
        <w:tc>
          <w:tcPr>
            <w:tcW w:type="dxa" w:w="4968"/>
          </w:tcPr>
          <w:p>
            <w:r>
              <w:t>GET 1 : miss, 1 SQL ; GET 2 : hit, 0 SQL</w:t>
            </w:r>
          </w:p>
        </w:tc>
      </w:tr>
    </w:tbl>
    <w:p>
      <w:r>
        <w:t>Analyse : l’API se replie correctement sur PostgreSQL quand Redis est indisponible. Ce repli préserve le résultat, mais augmente les lectures SQL et peut surcharger PostgreSQL en cas de panne sous forte charge.</w:t>
      </w:r>
    </w:p>
    <w:p>
      <w:pPr>
        <w:pStyle w:val="Heading2"/>
      </w:pPr>
      <w:r>
        <w:t>8.5 Fraîcheur, risque de course et restauration</w:t>
      </w:r>
    </w:p>
    <w:p>
      <w:r>
        <w:t>La fenêtre de fraîcheur acceptée pour ce catalogue de laboratoire est d’environ une minute par copie. Le TTL ne synchronise pas instantanément Redis avec PostgreSQL. Scénario de course possible : A lit l’ancien prix, B écrit le nouveau puis invalide, A republie ensuite l’ancien prix. Cette course est analysée, mais n’a pas été simulée. Une version de données pourrait empêcher la republication d’une copie obsolète.</w:t>
      </w:r>
    </w:p>
    <w:p>
      <w:r>
        <w:t>Restauration : prix 57,50 rétabli, invalidation confirmée, contrôle GET correct et suppression finale de la clé. Réserve : le TTL de séance est resté à 60 s dans le livrable, alors que la valeur initiale archivée était 5 s ; sa remise à l’état initial reste à confirmer.</w:t>
      </w:r>
    </w:p>
    <w:p>
      <w:r>
        <w:t>Décision : retenir le cache-aside avec invalidation après écriture et repli PostgreSQL, sous réserve d’une fraîcheur métier acceptée, de la gestion des erreurs et d’une protection contre les courses de reconstruction. Pour un achat, vérifier le prix dans PostgreSQL pendant la transaction.</w:t>
      </w:r>
    </w:p>
    <w:p>
      <w:pPr>
        <w:pStyle w:val="Heading1"/>
      </w:pPr>
      <w:r>
        <w:t>9. Atelier 9 — Courbe de charge HTTP avant/après</w:t>
      </w:r>
    </w:p>
    <w:p>
      <w:r>
        <w:t>Objectif : mesurer sous plusieurs niveaux de concurrence le bénéfice réel de la correction N+1 sur GET /commandes?limit=20&amp;pagination=curseur pour le client autorisé 42. Seul le mode de chargement des relations change (n1 puis groupe).</w:t>
      </w:r>
    </w:p>
    <w:p>
      <w:pPr>
        <w:pStyle w:val="Heading2"/>
      </w:pPr>
      <w:r>
        <w:t>9.1 Protocole et équivalence</w:t>
      </w:r>
    </w:p>
    <w:p>
      <w:r>
        <w:t>Charge fermée : 1, 5, 10 et 20 clients simultanés ; 10 secondes d’échauffement, 30 secondes de mesure par niveau, timeout HTTP 15 secondes. Générateur et API sur le même poste. Environnement déclaré : Node 26.10.0, Docker Compose 5.5.1, PostgreSQL 18.6 Debian aarch64. Un autre conteneur (fleetpulse-registry) était actif sur la machine.</w:t>
      </w:r>
    </w:p>
    <w:p>
      <w:r>
        <w:rPr>
          <w:rFonts w:ascii="Consolas" w:hAnsi="Consolas"/>
          <w:sz w:val="16"/>
        </w:rPr>
        <w:t>node "$J5_BENCH" run --label avant_n1 --path '/commandes?limit=20&amp;pagination=curseur&amp;relations=n1' --clients 1,5,10,20 --warmup 10 --seconds 30</w:t>
        <w:br/>
        <w:t>node "$J5_BENCH" run --label apres_groupe --path '/commandes?limit=20&amp;pagination=curseur&amp;relations=groupe' --clients 1,5,10,20 --warmup 10 --seconds 30</w:t>
        <w:br/>
        <w:t>node "$J5_BENCH" compare --before avant_n1 --after apres_groupe</w:t>
      </w:r>
    </w:p>
    <w:p>
      <w:r>
        <w:t>Avant charge : réponses JSON intégralement identiques ; HTTP 200 dans les deux modes. Le contrôle isolé a compté 21 SQL en N+1 (127,259 ms HTTP) et 2 SQL en groupé (27,571 ms HTTP). Ces temps isolés ne sont pas les p95 des campagnes.</w:t>
      </w:r>
    </w:p>
    <w:p>
      <w:pPr>
        <w:pStyle w:val="Heading2"/>
      </w:pPr>
      <w:r>
        <w:t>9.2 SQL responsable du changement</w:t>
      </w:r>
    </w:p>
    <w:p>
      <w:r>
        <w:rPr>
          <w:rFonts w:ascii="Consolas" w:hAnsi="Consolas"/>
          <w:sz w:val="16"/>
        </w:rPr>
        <w:t>-- Lecture de la page, identique dans les deux modes</w:t>
        <w:br/>
        <w:t>SELECT id::text AS id,</w:t>
        <w:br/>
        <w:t xml:space="preserve">       to_char(created_at AT TIME ZONE 'UTC','YYYY-MM-DD"T"HH24:MI:SS.US"Z"') AS created_at,</w:t>
        <w:br/>
        <w:t xml:space="preserve">       statut, total::text AS total</w:t>
        <w:br/>
        <w:t>FROM shopflow.commandes WHERE client_id=$1</w:t>
        <w:br/>
        <w:t>ORDER BY commandes.created_at DESC, commandes.id DESC LIMIT $2;</w:t>
        <w:br/>
        <w:br/>
        <w:t>-- Avant : répétée pour chaque commande de la page (20 fois)</w:t>
        <w:br/>
        <w:t>SELECT commande_id::text, produit_id::text, qte, prix_unitaire::text</w:t>
        <w:br/>
        <w:t>FROM shopflow.lignes WHERE commande_id=$1 ORDER BY lignes.produit_id;</w:t>
        <w:br/>
        <w:br/>
        <w:t>-- Après : une requête pour les identifiants de la page</w:t>
        <w:br/>
        <w:t>SELECT commande_id::text, produit_id::text, qte, prix_unitaire::text</w:t>
        <w:br/>
        <w:t>FROM shopflow.lignes WHERE commande_id=ANY($1::bigint[])</w:t>
        <w:br/>
        <w:t>ORDER BY lignes.commande_id, lignes.produit_id;</w:t>
      </w:r>
    </w:p>
    <w:p>
      <w:r>
        <w:t>La requête de la page est inchangée. Le groupement supprime 19 instructions SQL par réponse de 20 commandes, tout en conservant le contenu renvoyé.</w:t>
      </w:r>
    </w:p>
    <w:p>
      <w:pPr>
        <w:pStyle w:val="Heading2"/>
      </w:pPr>
      <w:r>
        <w:t>9.3 Mesures réelles à concurrence égale</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t>Clients</w:t>
            </w:r>
          </w:p>
        </w:tc>
        <w:tc>
          <w:tcPr>
            <w:tcW w:type="dxa" w:w="1656"/>
          </w:tcPr>
          <w:p>
            <w:r>
              <w:t>p50 avant / après (ms)</w:t>
            </w:r>
          </w:p>
        </w:tc>
        <w:tc>
          <w:tcPr>
            <w:tcW w:type="dxa" w:w="1656"/>
          </w:tcPr>
          <w:p>
            <w:r>
              <w:t>p95 avant / après (ms)</w:t>
            </w:r>
          </w:p>
        </w:tc>
        <w:tc>
          <w:tcPr>
            <w:tcW w:type="dxa" w:w="1656"/>
          </w:tcPr>
          <w:p>
            <w:r>
              <w:t>Débit avant / après (req/s)</w:t>
            </w:r>
          </w:p>
        </w:tc>
        <w:tc>
          <w:tcPr>
            <w:tcW w:type="dxa" w:w="1656"/>
          </w:tcPr>
          <w:p>
            <w:r>
              <w:t>SQL avant / après</w:t>
            </w:r>
          </w:p>
        </w:tc>
        <w:tc>
          <w:tcPr>
            <w:tcW w:type="dxa" w:w="1656"/>
          </w:tcPr>
          <w:p>
            <w:r>
              <w:t>Erreurs</w:t>
            </w:r>
          </w:p>
        </w:tc>
      </w:tr>
      <w:tr>
        <w:tc>
          <w:tcPr>
            <w:tcW w:type="dxa" w:w="1656"/>
          </w:tcPr>
          <w:p>
            <w:r>
              <w:t>1</w:t>
            </w:r>
          </w:p>
        </w:tc>
        <w:tc>
          <w:tcPr>
            <w:tcW w:type="dxa" w:w="1656"/>
          </w:tcPr>
          <w:p>
            <w:r>
              <w:t>7,63 / 1,25</w:t>
            </w:r>
          </w:p>
        </w:tc>
        <w:tc>
          <w:tcPr>
            <w:tcW w:type="dxa" w:w="1656"/>
          </w:tcPr>
          <w:p>
            <w:r>
              <w:t>10,02 / 1,98</w:t>
            </w:r>
          </w:p>
        </w:tc>
        <w:tc>
          <w:tcPr>
            <w:tcW w:type="dxa" w:w="1656"/>
          </w:tcPr>
          <w:p>
            <w:r>
              <w:t>120,73 / 698,43</w:t>
            </w:r>
          </w:p>
        </w:tc>
        <w:tc>
          <w:tcPr>
            <w:tcW w:type="dxa" w:w="1656"/>
          </w:tcPr>
          <w:p>
            <w:r>
              <w:t>21 / 2</w:t>
            </w:r>
          </w:p>
        </w:tc>
        <w:tc>
          <w:tcPr>
            <w:tcW w:type="dxa" w:w="1656"/>
          </w:tcPr>
          <w:p>
            <w:r>
              <w:t>0 / 0</w:t>
            </w:r>
          </w:p>
        </w:tc>
      </w:tr>
      <w:tr>
        <w:tc>
          <w:tcPr>
            <w:tcW w:type="dxa" w:w="1656"/>
          </w:tcPr>
          <w:p>
            <w:r>
              <w:t>5</w:t>
            </w:r>
          </w:p>
        </w:tc>
        <w:tc>
          <w:tcPr>
            <w:tcW w:type="dxa" w:w="1656"/>
          </w:tcPr>
          <w:p>
            <w:r>
              <w:t>10,56 / 1,96</w:t>
            </w:r>
          </w:p>
        </w:tc>
        <w:tc>
          <w:tcPr>
            <w:tcW w:type="dxa" w:w="1656"/>
          </w:tcPr>
          <w:p>
            <w:r>
              <w:t>24,30 / 7,31</w:t>
            </w:r>
          </w:p>
        </w:tc>
        <w:tc>
          <w:tcPr>
            <w:tcW w:type="dxa" w:w="1656"/>
          </w:tcPr>
          <w:p>
            <w:r>
              <w:t>382,36 / 1 572,00</w:t>
            </w:r>
          </w:p>
        </w:tc>
        <w:tc>
          <w:tcPr>
            <w:tcW w:type="dxa" w:w="1656"/>
          </w:tcPr>
          <w:p>
            <w:r>
              <w:t>21 / 2</w:t>
            </w:r>
          </w:p>
        </w:tc>
        <w:tc>
          <w:tcPr>
            <w:tcW w:type="dxa" w:w="1656"/>
          </w:tcPr>
          <w:p>
            <w:r>
              <w:t>0 / 0</w:t>
            </w:r>
          </w:p>
        </w:tc>
      </w:tr>
      <w:tr>
        <w:tc>
          <w:tcPr>
            <w:tcW w:type="dxa" w:w="1656"/>
          </w:tcPr>
          <w:p>
            <w:r>
              <w:t>10</w:t>
            </w:r>
          </w:p>
        </w:tc>
        <w:tc>
          <w:tcPr>
            <w:tcW w:type="dxa" w:w="1656"/>
          </w:tcPr>
          <w:p>
            <w:r>
              <w:t>20,41 / 3,45</w:t>
            </w:r>
          </w:p>
        </w:tc>
        <w:tc>
          <w:tcPr>
            <w:tcW w:type="dxa" w:w="1656"/>
          </w:tcPr>
          <w:p>
            <w:r>
              <w:t>38,62 / 6,45</w:t>
            </w:r>
          </w:p>
        </w:tc>
        <w:tc>
          <w:tcPr>
            <w:tcW w:type="dxa" w:w="1656"/>
          </w:tcPr>
          <w:p>
            <w:r>
              <w:t>426,25 / 2 511,27</w:t>
            </w:r>
          </w:p>
        </w:tc>
        <w:tc>
          <w:tcPr>
            <w:tcW w:type="dxa" w:w="1656"/>
          </w:tcPr>
          <w:p>
            <w:r>
              <w:t>21 / 2</w:t>
            </w:r>
          </w:p>
        </w:tc>
        <w:tc>
          <w:tcPr>
            <w:tcW w:type="dxa" w:w="1656"/>
          </w:tcPr>
          <w:p>
            <w:r>
              <w:t>0 / 0</w:t>
            </w:r>
          </w:p>
        </w:tc>
      </w:tr>
      <w:tr>
        <w:tc>
          <w:tcPr>
            <w:tcW w:type="dxa" w:w="1656"/>
          </w:tcPr>
          <w:p>
            <w:r>
              <w:t>20</w:t>
            </w:r>
          </w:p>
        </w:tc>
        <w:tc>
          <w:tcPr>
            <w:tcW w:type="dxa" w:w="1656"/>
          </w:tcPr>
          <w:p>
            <w:r>
              <w:t>43,79 / 7,41</w:t>
            </w:r>
          </w:p>
        </w:tc>
        <w:tc>
          <w:tcPr>
            <w:tcW w:type="dxa" w:w="1656"/>
          </w:tcPr>
          <w:p>
            <w:r>
              <w:t>59,96 / 15,50</w:t>
            </w:r>
          </w:p>
        </w:tc>
        <w:tc>
          <w:tcPr>
            <w:tcW w:type="dxa" w:w="1656"/>
          </w:tcPr>
          <w:p>
            <w:r>
              <w:t>428,01 / 2 255,59</w:t>
            </w:r>
          </w:p>
        </w:tc>
        <w:tc>
          <w:tcPr>
            <w:tcW w:type="dxa" w:w="1656"/>
          </w:tcPr>
          <w:p>
            <w:r>
              <w:t>21 / 2</w:t>
            </w:r>
          </w:p>
        </w:tc>
        <w:tc>
          <w:tcPr>
            <w:tcW w:type="dxa" w:w="1656"/>
          </w:tcPr>
          <w:p>
            <w:r>
              <w:t>0 / 0</w:t>
            </w:r>
          </w:p>
        </w:tc>
      </w:tr>
    </w:tbl>
    <w:p>
      <w:r>
        <w:t>À 10 clients, p95 : 38,62 → 6,45 ms (−83,3 %) ; débit : 426,25 → 2 511,27 req/s (×5,89). Aucun appel en erreur. Les quatre points de chaque série ont été menés à terme.</w:t>
      </w:r>
    </w:p>
    <w:p>
      <w:r>
        <w:drawing>
          <wp:inline xmlns:a="http://schemas.openxmlformats.org/drawingml/2006/main" xmlns:pic="http://schemas.openxmlformats.org/drawingml/2006/picture">
            <wp:extent cx="5303520" cy="2284593"/>
            <wp:docPr id="1" name="Picture 1"/>
            <wp:cNvGraphicFramePr>
              <a:graphicFrameLocks noChangeAspect="1"/>
            </wp:cNvGraphicFramePr>
            <a:graphic>
              <a:graphicData uri="http://schemas.openxmlformats.org/drawingml/2006/picture">
                <pic:pic>
                  <pic:nvPicPr>
                    <pic:cNvPr id="0" name="_atelier9_p95.png"/>
                    <pic:cNvPicPr/>
                  </pic:nvPicPr>
                  <pic:blipFill>
                    <a:blip r:embed="rId9"/>
                    <a:stretch>
                      <a:fillRect/>
                    </a:stretch>
                  </pic:blipFill>
                  <pic:spPr>
                    <a:xfrm>
                      <a:off x="0" y="0"/>
                      <a:ext cx="5303520" cy="2284593"/>
                    </a:xfrm>
                    <a:prstGeom prst="rect"/>
                  </pic:spPr>
                </pic:pic>
              </a:graphicData>
            </a:graphic>
          </wp:inline>
        </w:drawing>
      </w:r>
    </w:p>
    <w:p>
      <w:r>
        <w:drawing>
          <wp:inline xmlns:a="http://schemas.openxmlformats.org/drawingml/2006/main" xmlns:pic="http://schemas.openxmlformats.org/drawingml/2006/picture">
            <wp:extent cx="5303520" cy="2284593"/>
            <wp:docPr id="2" name="Picture 2"/>
            <wp:cNvGraphicFramePr>
              <a:graphicFrameLocks noChangeAspect="1"/>
            </wp:cNvGraphicFramePr>
            <a:graphic>
              <a:graphicData uri="http://schemas.openxmlformats.org/drawingml/2006/picture">
                <pic:pic>
                  <pic:nvPicPr>
                    <pic:cNvPr id="0" name="_atelier9_debit.png"/>
                    <pic:cNvPicPr/>
                  </pic:nvPicPr>
                  <pic:blipFill>
                    <a:blip r:embed="rId10"/>
                    <a:stretch>
                      <a:fillRect/>
                    </a:stretch>
                  </pic:blipFill>
                  <pic:spPr>
                    <a:xfrm>
                      <a:off x="0" y="0"/>
                      <a:ext cx="5303520" cy="2284593"/>
                    </a:xfrm>
                    <a:prstGeom prst="rect"/>
                  </pic:spPr>
                </pic:pic>
              </a:graphicData>
            </a:graphic>
          </wp:inline>
        </w:drawing>
      </w:r>
    </w:p>
    <w:p>
      <w:pPr>
        <w:pStyle w:val="Heading2"/>
      </w:pPr>
      <w:r>
        <w:t>9.4 Saturation, observation et limites</w:t>
      </w:r>
    </w:p>
    <w:p>
      <w:r>
        <w:t>Avant : débit presque stable de 426,25 à 428,01 req/s entre 10 et 20 clients, tandis que le p95 monte de 38,62 à 59,96 ms. Après : débit maximal mesuré à 10 clients (2 511,27 req/s), puis baisse à 2 255,59 req/s à 20 clients ; le p95 passe de 6,45 à 15,50 ms. Les deux séries montrent une limite de capacité locale, mais pas au même niveau de performance.</w:t>
      </w:r>
    </w:p>
    <w:p>
      <w:r>
        <w:t>Observations ponctuelles pendant les campagnes : pool enAttente=0 aux instants relevés ; PostgreSQL CPU 95,00 % dans la série N+1 contre 21,38 % dans la série groupée. Les relevés ne sont pas associés à un niveau exact de clients et ne prouvent donc pas une réduction de CPU à charge égale. Le CPU Docker à 95 % correspond approximativement à un cœur. Redis était prêt ; aucune attente de pool n’a été observée aux instants contrôlés.</w:t>
      </w:r>
    </w:p>
    <w:p>
      <w:r>
        <w:t>Limites : une seule campagne par variante, séries successives et non alternées ; générateur et API sur le même hôte ; conteneur tiers actif ; observations ponctuelles non synchronisées par niveau ; charge fermée (chaque client attend la réponse). Les valeurs démontrent un gain dans ce laboratoire, pas une capacité de production. Les fichiers bruts CSV et JSON sont mentionnés dans le livrable Codex, mais ne sont pas joints séparément au présent dossier.</w:t>
      </w:r>
    </w:p>
    <w:p>
      <w:r>
        <w:t>Décision : retenir le chargement groupé. Pour consolider la preuve, répéter et alterner les campagnes, horodater les observations pour chaque palier et séparer le générateur de l’API. Conserver les sorties brutes avec le rapport.</w:t>
      </w:r>
    </w:p>
    <w:p>
      <w:pPr>
        <w:pStyle w:val="Heading1"/>
      </w:pPr>
      <w:r>
        <w:t>10. Synthèse des décisions</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shd w:fill="D9EAF7"/>
          </w:tcPr>
          <w:p>
            <w:pPr>
              <w:spacing w:after="20" w:before="20"/>
            </w:pPr>
            <w:r>
              <w:rPr>
                <w:b/>
                <w:sz w:val="17"/>
              </w:rPr>
              <w:t>Expérience</w:t>
            </w:r>
          </w:p>
        </w:tc>
        <w:tc>
          <w:tcPr>
            <w:tcW w:type="dxa" w:w="3312"/>
            <w:shd w:fill="D9EAF7"/>
          </w:tcPr>
          <w:p>
            <w:pPr>
              <w:spacing w:after="20" w:before="20"/>
            </w:pPr>
            <w:r>
              <w:rPr>
                <w:b/>
                <w:sz w:val="17"/>
              </w:rPr>
              <w:t>Décision</w:t>
            </w:r>
          </w:p>
        </w:tc>
        <w:tc>
          <w:tcPr>
            <w:tcW w:type="dxa" w:w="3312"/>
            <w:shd w:fill="D9EAF7"/>
          </w:tcPr>
          <w:p>
            <w:pPr>
              <w:spacing w:after="20" w:before="20"/>
            </w:pPr>
            <w:r>
              <w:rPr>
                <w:b/>
                <w:sz w:val="17"/>
              </w:rPr>
              <w:t>Pourquoi</w:t>
            </w:r>
          </w:p>
        </w:tc>
      </w:tr>
      <w:tr>
        <w:trPr>
          <w:cantSplit/>
        </w:trPr>
        <w:tc>
          <w:tcPr>
            <w:tcW w:type="dxa" w:w="3312"/>
            <w:vAlign w:val="center"/>
          </w:tcPr>
          <w:p>
            <w:pPr>
              <w:spacing w:after="20" w:before="20"/>
            </w:pPr>
            <w:r>
              <w:rPr>
                <w:sz w:val="17"/>
              </w:rPr>
              <w:t>JOIN + DISTINCT → EXISTS</w:t>
            </w:r>
          </w:p>
        </w:tc>
        <w:tc>
          <w:tcPr>
            <w:tcW w:type="dxa" w:w="3312"/>
            <w:vAlign w:val="center"/>
          </w:tcPr>
          <w:p>
            <w:pPr>
              <w:spacing w:after="20" w:before="20"/>
            </w:pPr>
            <w:r>
              <w:rPr>
                <w:sz w:val="17"/>
              </w:rPr>
              <w:t>Retenir</w:t>
            </w:r>
          </w:p>
        </w:tc>
        <w:tc>
          <w:tcPr>
            <w:tcW w:type="dxa" w:w="3312"/>
            <w:vAlign w:val="center"/>
          </w:tcPr>
          <w:p>
            <w:pPr>
              <w:spacing w:after="20" w:before="20"/>
            </w:pPr>
            <w:r>
              <w:rPr>
                <w:sz w:val="17"/>
              </w:rPr>
              <w:t>exprime mieux le besoin ; gain de temps non garanti</w:t>
            </w:r>
          </w:p>
        </w:tc>
      </w:tr>
      <w:tr>
        <w:trPr>
          <w:cantSplit/>
        </w:trPr>
        <w:tc>
          <w:tcPr>
            <w:tcW w:type="dxa" w:w="3312"/>
            <w:vAlign w:val="center"/>
          </w:tcPr>
          <w:p>
            <w:pPr>
              <w:spacing w:after="20" w:before="20"/>
            </w:pPr>
            <w:r>
              <w:rPr>
                <w:sz w:val="17"/>
              </w:rPr>
              <w:t>Préagrégation</w:t>
            </w:r>
          </w:p>
        </w:tc>
        <w:tc>
          <w:tcPr>
            <w:tcW w:type="dxa" w:w="3312"/>
            <w:vAlign w:val="center"/>
          </w:tcPr>
          <w:p>
            <w:pPr>
              <w:spacing w:after="20" w:before="20"/>
            </w:pPr>
            <w:r>
              <w:rPr>
                <w:sz w:val="17"/>
              </w:rPr>
              <w:t>Retenir selon le besoin</w:t>
            </w:r>
          </w:p>
        </w:tc>
        <w:tc>
          <w:tcPr>
            <w:tcW w:type="dxa" w:w="3312"/>
            <w:vAlign w:val="center"/>
          </w:tcPr>
          <w:p>
            <w:pPr>
              <w:spacing w:after="20" w:before="20"/>
            </w:pPr>
            <w:r>
              <w:rPr>
                <w:sz w:val="17"/>
              </w:rPr>
              <w:t>calcul correct et structure plus claire</w:t>
            </w:r>
          </w:p>
        </w:tc>
      </w:tr>
      <w:tr>
        <w:trPr>
          <w:cantSplit/>
        </w:trPr>
        <w:tc>
          <w:tcPr>
            <w:tcW w:type="dxa" w:w="3312"/>
            <w:vAlign w:val="center"/>
          </w:tcPr>
          <w:p>
            <w:pPr>
              <w:spacing w:after="20" w:before="20"/>
            </w:pPr>
            <w:r>
              <w:rPr>
                <w:sz w:val="17"/>
              </w:rPr>
              <w:t>Index simple client_id</w:t>
            </w:r>
          </w:p>
        </w:tc>
        <w:tc>
          <w:tcPr>
            <w:tcW w:type="dxa" w:w="3312"/>
            <w:vAlign w:val="center"/>
          </w:tcPr>
          <w:p>
            <w:pPr>
              <w:spacing w:after="20" w:before="20"/>
            </w:pPr>
            <w:r>
              <w:rPr>
                <w:sz w:val="17"/>
              </w:rPr>
              <w:t>Rejeter</w:t>
            </w:r>
          </w:p>
        </w:tc>
        <w:tc>
          <w:tcPr>
            <w:tcW w:type="dxa" w:w="3312"/>
            <w:vAlign w:val="center"/>
          </w:tcPr>
          <w:p>
            <w:pPr>
              <w:spacing w:after="20" w:before="20"/>
            </w:pPr>
            <w:r>
              <w:rPr>
                <w:sz w:val="17"/>
              </w:rPr>
              <w:t>n’enlève aucun travail sur la requête testée</w:t>
            </w:r>
          </w:p>
        </w:tc>
      </w:tr>
      <w:tr>
        <w:trPr>
          <w:cantSplit/>
        </w:trPr>
        <w:tc>
          <w:tcPr>
            <w:tcW w:type="dxa" w:w="3312"/>
            <w:vAlign w:val="center"/>
          </w:tcPr>
          <w:p>
            <w:pPr>
              <w:spacing w:after="20" w:before="20"/>
            </w:pPr>
            <w:r>
              <w:rPr>
                <w:sz w:val="17"/>
              </w:rPr>
              <w:t>Index composé</w:t>
            </w:r>
          </w:p>
        </w:tc>
        <w:tc>
          <w:tcPr>
            <w:tcW w:type="dxa" w:w="3312"/>
            <w:vAlign w:val="center"/>
          </w:tcPr>
          <w:p>
            <w:pPr>
              <w:spacing w:after="20" w:before="20"/>
            </w:pPr>
            <w:r>
              <w:rPr>
                <w:sz w:val="17"/>
              </w:rPr>
              <w:t>Alternative</w:t>
            </w:r>
          </w:p>
        </w:tc>
        <w:tc>
          <w:tcPr>
            <w:tcW w:type="dxa" w:w="3312"/>
            <w:vAlign w:val="center"/>
          </w:tcPr>
          <w:p>
            <w:pPr>
              <w:spacing w:after="20" w:before="20"/>
            </w:pPr>
            <w:r>
              <w:rPr>
                <w:sz w:val="17"/>
              </w:rPr>
              <w:t>évite le tri et réduit les lectures</w:t>
            </w:r>
          </w:p>
        </w:tc>
      </w:tr>
      <w:tr>
        <w:trPr>
          <w:cantSplit/>
        </w:trPr>
        <w:tc>
          <w:tcPr>
            <w:tcW w:type="dxa" w:w="3312"/>
            <w:vAlign w:val="center"/>
          </w:tcPr>
          <w:p>
            <w:pPr>
              <w:spacing w:after="20" w:before="20"/>
            </w:pPr>
            <w:r>
              <w:rPr>
                <w:sz w:val="17"/>
              </w:rPr>
              <w:t>Index couvrant</w:t>
            </w:r>
          </w:p>
        </w:tc>
        <w:tc>
          <w:tcPr>
            <w:tcW w:type="dxa" w:w="3312"/>
            <w:vAlign w:val="center"/>
          </w:tcPr>
          <w:p>
            <w:pPr>
              <w:spacing w:after="20" w:before="20"/>
            </w:pPr>
            <w:r>
              <w:rPr>
                <w:sz w:val="17"/>
              </w:rPr>
              <w:t>Retenir</w:t>
            </w:r>
          </w:p>
        </w:tc>
        <w:tc>
          <w:tcPr>
            <w:tcW w:type="dxa" w:w="3312"/>
            <w:vAlign w:val="center"/>
          </w:tcPr>
          <w:p>
            <w:pPr>
              <w:spacing w:after="20" w:before="20"/>
            </w:pPr>
            <w:r>
              <w:rPr>
                <w:sz w:val="17"/>
              </w:rPr>
              <w:t>meilleur résultat pour l’historique : 0,234 ms</w:t>
            </w:r>
          </w:p>
        </w:tc>
      </w:tr>
      <w:tr>
        <w:trPr>
          <w:cantSplit/>
        </w:trPr>
        <w:tc>
          <w:tcPr>
            <w:tcW w:type="dxa" w:w="3312"/>
            <w:vAlign w:val="center"/>
          </w:tcPr>
          <w:p>
            <w:pPr>
              <w:spacing w:after="20" w:before="20"/>
            </w:pPr>
            <w:r>
              <w:rPr>
                <w:sz w:val="17"/>
              </w:rPr>
              <w:t>Index partiel</w:t>
            </w:r>
          </w:p>
        </w:tc>
        <w:tc>
          <w:tcPr>
            <w:tcW w:type="dxa" w:w="3312"/>
            <w:vAlign w:val="center"/>
          </w:tcPr>
          <w:p>
            <w:pPr>
              <w:spacing w:after="20" w:before="20"/>
            </w:pPr>
            <w:r>
              <w:rPr>
                <w:sz w:val="17"/>
              </w:rPr>
              <w:t>Retenir</w:t>
            </w:r>
          </w:p>
        </w:tc>
        <w:tc>
          <w:tcPr>
            <w:tcW w:type="dxa" w:w="3312"/>
            <w:vAlign w:val="center"/>
          </w:tcPr>
          <w:p>
            <w:pPr>
              <w:spacing w:after="20" w:before="20"/>
            </w:pPr>
            <w:r>
              <w:rPr>
                <w:sz w:val="17"/>
              </w:rPr>
              <w:t>16,608 → 0,295 ms ; seulement 3 blocs lus</w:t>
            </w:r>
          </w:p>
        </w:tc>
      </w:tr>
      <w:tr>
        <w:trPr>
          <w:cantSplit/>
        </w:trPr>
        <w:tc>
          <w:tcPr>
            <w:tcW w:type="dxa" w:w="3312"/>
            <w:vAlign w:val="center"/>
          </w:tcPr>
          <w:p>
            <w:pPr>
              <w:spacing w:after="20" w:before="20"/>
            </w:pPr>
            <w:r>
              <w:rPr>
                <w:sz w:val="17"/>
              </w:rPr>
              <w:t>GIN</w:t>
            </w:r>
          </w:p>
        </w:tc>
        <w:tc>
          <w:tcPr>
            <w:tcW w:type="dxa" w:w="3312"/>
            <w:vAlign w:val="center"/>
          </w:tcPr>
          <w:p>
            <w:pPr>
              <w:spacing w:after="20" w:before="20"/>
            </w:pPr>
            <w:r>
              <w:rPr>
                <w:sz w:val="17"/>
              </w:rPr>
              <w:t>À utiliser selon le volume</w:t>
            </w:r>
          </w:p>
        </w:tc>
        <w:tc>
          <w:tcPr>
            <w:tcW w:type="dxa" w:w="3312"/>
            <w:vAlign w:val="center"/>
          </w:tcPr>
          <w:p>
            <w:pPr>
              <w:spacing w:after="20" w:before="20"/>
            </w:pPr>
            <w:r>
              <w:rPr>
                <w:sz w:val="17"/>
              </w:rPr>
              <w:t>adapté à @&gt;, mais inutile sur seulement 200 produits ici</w:t>
            </w:r>
          </w:p>
        </w:tc>
      </w:tr>
      <w:tr>
        <w:trPr>
          <w:cantSplit/>
        </w:trPr>
        <w:tc>
          <w:tcPr>
            <w:tcW w:type="dxa" w:w="3312"/>
            <w:vAlign w:val="center"/>
          </w:tcPr>
          <w:p>
            <w:pPr>
              <w:spacing w:after="20" w:before="20"/>
            </w:pPr>
            <w:r>
              <w:rPr>
                <w:sz w:val="17"/>
              </w:rPr>
              <w:t>GiST</w:t>
            </w:r>
          </w:p>
        </w:tc>
        <w:tc>
          <w:tcPr>
            <w:tcW w:type="dxa" w:w="3312"/>
            <w:vAlign w:val="center"/>
          </w:tcPr>
          <w:p>
            <w:pPr>
              <w:spacing w:after="20" w:before="20"/>
            </w:pPr>
            <w:r>
              <w:rPr>
                <w:sz w:val="17"/>
              </w:rPr>
              <w:t>À utiliser selon le volume</w:t>
            </w:r>
          </w:p>
        </w:tc>
        <w:tc>
          <w:tcPr>
            <w:tcW w:type="dxa" w:w="3312"/>
            <w:vAlign w:val="center"/>
          </w:tcPr>
          <w:p>
            <w:pPr>
              <w:spacing w:after="20" w:before="20"/>
            </w:pPr>
            <w:r>
              <w:rPr>
                <w:sz w:val="17"/>
              </w:rPr>
              <w:t>opérateur correct ; 3 lignes ne justifient pas l’index</w:t>
            </w:r>
          </w:p>
        </w:tc>
      </w:tr>
      <w:tr>
        <w:trPr>
          <w:cantSplit/>
        </w:trPr>
        <w:tc>
          <w:tcPr>
            <w:tcW w:type="dxa" w:w="3312"/>
          </w:tcPr>
          <w:p>
            <w:r>
              <w:t>Migration compatible</w:t>
            </w:r>
          </w:p>
        </w:tc>
        <w:tc>
          <w:tcPr>
            <w:tcW w:type="dxa" w:w="3312"/>
          </w:tcPr>
          <w:p>
            <w:r>
              <w:t>Retenir</w:t>
            </w:r>
          </w:p>
        </w:tc>
        <w:tc>
          <w:tcPr>
            <w:tcW w:type="dxa" w:w="3312"/>
          </w:tcPr>
          <w:p>
            <w:r>
              <w:t>compatibilité, contraintes progressives, verrou contrôlé et rollback sans écart</w:t>
            </w:r>
          </w:p>
        </w:tc>
      </w:tr>
      <w:tr>
        <w:trPr>
          <w:cantSplit/>
        </w:trPr>
        <w:tc>
          <w:tcPr>
            <w:tcW w:type="dxa" w:w="3312"/>
          </w:tcPr>
          <w:p>
            <w:r>
              <w:t>N+1 API</w:t>
            </w:r>
          </w:p>
        </w:tc>
        <w:tc>
          <w:tcPr>
            <w:tcW w:type="dxa" w:w="3312"/>
          </w:tcPr>
          <w:p>
            <w:r>
              <w:t>Retenir le groupé</w:t>
            </w:r>
          </w:p>
        </w:tc>
        <w:tc>
          <w:tcPr>
            <w:tcW w:type="dxa" w:w="3312"/>
          </w:tcPr>
          <w:p>
            <w:r>
              <w:t>21 → 2 SQL avec réponse identique</w:t>
            </w:r>
          </w:p>
        </w:tc>
      </w:tr>
      <w:tr>
        <w:trPr>
          <w:cantSplit/>
        </w:trPr>
        <w:tc>
          <w:tcPr>
            <w:tcW w:type="dxa" w:w="3312"/>
          </w:tcPr>
          <w:p>
            <w:r>
              <w:t>Pagination API</w:t>
            </w:r>
          </w:p>
        </w:tc>
        <w:tc>
          <w:tcPr>
            <w:tcW w:type="dxa" w:w="3312"/>
          </w:tcPr>
          <w:p>
            <w:r>
              <w:t>Retenir le curseur date/id</w:t>
            </w:r>
          </w:p>
        </w:tc>
        <w:tc>
          <w:tcPr>
            <w:tcW w:type="dxa" w:w="3312"/>
          </w:tcPr>
          <w:p>
            <w:r>
              <w:t>ordre stable, y compris avec dates identiques</w:t>
            </w:r>
          </w:p>
        </w:tc>
      </w:tr>
      <w:tr>
        <w:trPr>
          <w:cantSplit/>
        </w:trPr>
        <w:tc>
          <w:tcPr>
            <w:tcW w:type="dxa" w:w="3312"/>
          </w:tcPr>
          <w:p>
            <w:r>
              <w:t>PgBouncer</w:t>
            </w:r>
          </w:p>
        </w:tc>
        <w:tc>
          <w:tcPr>
            <w:tcW w:type="dxa" w:w="3312"/>
          </w:tcPr>
          <w:p>
            <w:r>
              <w:t>Retenir avec dimensionnement</w:t>
            </w:r>
          </w:p>
        </w:tc>
        <w:tc>
          <w:tcPr>
            <w:tcW w:type="dxa" w:w="3312"/>
          </w:tcPr>
          <w:p>
            <w:r>
              <w:t>40 → 5 connexions ; évite le refus à 80 clients mais crée de l’attente</w:t>
            </w:r>
          </w:p>
        </w:tc>
      </w:tr>
      <w:tr>
        <w:tc>
          <w:tcPr>
            <w:tcW w:type="dxa" w:w="3312"/>
          </w:tcPr>
          <w:p>
            <w:r>
              <w:t>Cache Redis</w:t>
            </w:r>
          </w:p>
        </w:tc>
        <w:tc>
          <w:tcPr>
            <w:tcW w:type="dxa" w:w="3312"/>
          </w:tcPr>
          <w:p>
            <w:r>
              <w:t>Retenir sous conditions</w:t>
            </w:r>
          </w:p>
        </w:tc>
        <w:tc>
          <w:tcPr>
            <w:tcW w:type="dxa" w:w="3312"/>
          </w:tcPr>
          <w:p>
            <w:r>
              <w:t>Hit 0 SQL, invalidation après écriture, TTL et repli testés</w:t>
            </w:r>
          </w:p>
        </w:tc>
      </w:tr>
      <w:tr>
        <w:tc>
          <w:tcPr>
            <w:tcW w:type="dxa" w:w="3312"/>
          </w:tcPr>
          <w:p>
            <w:r>
              <w:t>Atelier 9 — charge HTTP</w:t>
            </w:r>
          </w:p>
        </w:tc>
        <w:tc>
          <w:tcPr>
            <w:tcW w:type="dxa" w:w="3312"/>
          </w:tcPr>
          <w:p>
            <w:r>
              <w:t>Retenir chargement groupé</w:t>
            </w:r>
          </w:p>
        </w:tc>
        <w:tc>
          <w:tcPr>
            <w:tcW w:type="dxa" w:w="3312"/>
          </w:tcPr>
          <w:p>
            <w:r>
              <w:t>À 10 clients : p95 −83,3 %, débit ×5,89, 21 → 2 SQL, 0 erreur</w:t>
            </w:r>
          </w:p>
        </w:tc>
      </w:tr>
    </w:tbl>
    <w:p/>
    <w:p>
      <w:pPr>
        <w:pStyle w:val="Heading1"/>
      </w:pPr>
      <w:r>
        <w:t>11. Conclusion générale</w:t>
      </w:r>
    </w:p>
    <w:p>
      <w:r>
        <w:t>Les ateliers réalisés montrent qu’une optimisation doit être mesurée à plusieurs niveaux : plan SQL, index, volume de données, comportement de l’API et gestion des connexions. Les index ne sont conservés que lorsqu’ils répondent à un besoin démontré ; les migrations sont effectuées progressivement ; le chargement groupé corrige le N+1 sans modifier le résultat fonctionnel ; le curseur garantit une pagination stable ; enfin PgBouncer limite le nombre de connexions PostgreSQL mais peut déplacer la pression vers une file d’attente si le pool est trop petit. Les décisions du rapport reposent donc sur les mesures réellement observées, sans généraliser les gains non démontrés.</w:t>
      </w:r>
      <w:r>
        <w:t xml:space="preserve"> L’Atelier 8 ajoute le cache-aside : un hit supprime la lecture SQL, mais la fraîcheur impose invalidation, TTL, repli en cas de panne et vigilance face aux courses de reconstruction.</w:t>
      </w:r>
      <w:r>
        <w:t xml:space="preserve"> L’Atelier 9 mesure sous charge la correction N+1 : 21 à 2 requêtes SQL par page, p95 de 38,62 à 6,45 ms et débit multiplié par 5,89 à 10 clients, dans les conditions du laboratoire.</w:t>
      </w:r>
    </w:p>
    <w:p>
      <w:r>
        <w:t>Les sorties complètes de EXPLAIN (ANALYZE, BUFFERS), les cinq mesures brutes, les inventaires détaillés d’index et les traces détaillées de migration peuvent être conservés en annexes. Le corps du rapport garde uniquement les requêtes utiles à la compréhension et les preuves qui justifient les décisions.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
    <w:name w:val="SQL"/>
    <w:pPr>
      <w:spacing w:before="80" w:after="140"/>
      <w:ind w:left="259"/>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