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Executive Licensing Inspector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seeking a highly organized and detail-oriented Executive Licensing Inspector to join our team. The successful candidate will be responsible for overseeing the licensing process of various entities and ensuring compliance with relevant laws and regulations. The Executive Licensing Inspector will work closely with internal and external stakeholders to ensure that all licensing requirements are met, and that all licensed entities operate in accordance with applicable regulations.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Oversee the licensing process for various entities, including reviewing applications, conducting inspections, and issuing licenses.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Ensure compliance with all relevant laws and regulations related to licensing.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and maintain positive relationships with internal and external stakeholders, including other government agencies, industry associations, and licensed entities.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Conduct regular inspections of licensed entities to ensure ongoing compliance with applicable regulations.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Investigate complaints and other reports of non-compliance with licensing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Prepare reports and make recommendations to management regarding licensing issues.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Develop and implement policies and procedures related to licensing.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Keep up-to-date with changes in relevant laws and regulations.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Requirements: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Bachelor's degree in a related field (e.g. business, law, public administration).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least [insert number] years of experience in a similar role.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Excellent communication and interpersonal skills.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Strong analytical and problem-solving skills.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Ability to work independently and as part of a team.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Familiarity with relevant laws and regulations related to licensing.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Ability to travel as needed.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Valid driver's license.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Proficiency with Microsoft Office (Word, Excel, PowerPoint).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job description is intended to convey information essential to understanding the scope of the Executive Licensing Inspector position and is not an exhaustive list of skills, efforts, duties, responsibilities or working conditions associated with it. The organization reserves the right to modify, add, or remove duties as necessary.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