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kinsoku/>
        <w:wordWrap/>
        <w:overflowPunct/>
        <w:topLinePunct w:val="0"/>
        <w:autoSpaceDE/>
        <w:autoSpaceDN/>
        <w:bidi w:val="0"/>
        <w:adjustRightInd/>
        <w:snapToGrid/>
        <w:spacing w:before="0" w:after="0" w:line="240" w:lineRule="auto"/>
        <w:jc w:val="center"/>
        <w:textAlignment w:val="auto"/>
        <w:rPr>
          <w:rFonts w:ascii="黑体" w:hAnsi="黑体" w:eastAsia="黑体" w:cs="黑体"/>
          <w:sz w:val="32"/>
          <w:szCs w:val="32"/>
        </w:rPr>
      </w:pPr>
      <w:bookmarkStart w:id="0" w:name="_Toc26773"/>
      <w:bookmarkStart w:id="1" w:name="_Toc8507"/>
      <w:r>
        <w:rPr>
          <w:rFonts w:hint="eastAsia" w:ascii="黑体" w:hAnsi="黑体" w:eastAsia="黑体" w:cs="黑体"/>
          <w:sz w:val="32"/>
          <w:szCs w:val="32"/>
          <w:lang w:eastAsia="zh-CN"/>
        </w:rPr>
        <w:t>《</w:t>
      </w:r>
      <w:r>
        <w:rPr>
          <w:rFonts w:hint="eastAsia" w:ascii="黑体" w:hAnsi="黑体" w:eastAsia="黑体" w:cs="黑体"/>
          <w:sz w:val="32"/>
          <w:szCs w:val="32"/>
          <w:lang w:val="en-US" w:eastAsia="zh-CN"/>
        </w:rPr>
        <w:t>xxxxx</w:t>
      </w:r>
      <w:r>
        <w:rPr>
          <w:rFonts w:hint="eastAsia" w:ascii="黑体" w:hAnsi="黑体" w:eastAsia="黑体" w:cs="黑体"/>
          <w:sz w:val="32"/>
          <w:szCs w:val="32"/>
          <w:lang w:eastAsia="zh-CN"/>
        </w:rPr>
        <w:t>》</w:t>
      </w:r>
      <w:bookmarkStart w:id="12" w:name="_GoBack"/>
      <w:r>
        <w:rPr>
          <w:rFonts w:hint="eastAsia" w:ascii="黑体" w:hAnsi="黑体" w:eastAsia="黑体" w:cs="黑体"/>
          <w:sz w:val="32"/>
          <w:szCs w:val="32"/>
          <w:lang w:val="en-US" w:eastAsia="zh-CN"/>
        </w:rPr>
        <w:t>课程</w:t>
      </w:r>
      <w:r>
        <w:rPr>
          <w:rFonts w:hint="eastAsia" w:ascii="黑体" w:hAnsi="黑体" w:eastAsia="黑体" w:cs="黑体"/>
          <w:sz w:val="32"/>
          <w:szCs w:val="32"/>
        </w:rPr>
        <w:t>教学整体设计</w:t>
      </w:r>
      <w:bookmarkEnd w:id="0"/>
      <w:bookmarkEnd w:id="1"/>
      <w:bookmarkEnd w:id="12"/>
    </w:p>
    <w:p>
      <w:pPr>
        <w:pStyle w:val="3"/>
        <w:pageBreakBefore w:val="0"/>
        <w:numPr>
          <w:ilvl w:val="0"/>
          <w:numId w:val="1"/>
        </w:numPr>
        <w:kinsoku/>
        <w:wordWrap/>
        <w:overflowPunct/>
        <w:topLinePunct w:val="0"/>
        <w:autoSpaceDE/>
        <w:autoSpaceDN/>
        <w:bidi w:val="0"/>
        <w:adjustRightInd/>
        <w:snapToGrid/>
        <w:spacing w:before="0" w:after="0" w:line="360" w:lineRule="auto"/>
        <w:jc w:val="left"/>
        <w:textAlignment w:val="auto"/>
        <w:rPr>
          <w:rFonts w:hint="eastAsia" w:asciiTheme="minorEastAsia" w:hAnsiTheme="minorEastAsia" w:eastAsiaTheme="minorEastAsia" w:cstheme="minorEastAsia"/>
          <w:sz w:val="24"/>
          <w:szCs w:val="24"/>
          <w:lang w:val="en-US" w:eastAsia="zh-CN"/>
        </w:rPr>
      </w:pPr>
      <w:bookmarkStart w:id="2" w:name="_Toc12208"/>
      <w:bookmarkStart w:id="3" w:name="_Toc30641"/>
      <w:r>
        <w:rPr>
          <w:rFonts w:hint="eastAsia" w:asciiTheme="minorEastAsia" w:hAnsiTheme="minorEastAsia" w:eastAsiaTheme="minorEastAsia" w:cstheme="minorEastAsia"/>
          <w:sz w:val="24"/>
          <w:szCs w:val="24"/>
          <w:lang w:val="en-US" w:eastAsia="zh-CN"/>
        </w:rPr>
        <w:t>课程结构与内容</w:t>
      </w:r>
    </w:p>
    <w:p>
      <w:pPr>
        <w:numPr>
          <w:ilvl w:val="0"/>
          <w:numId w:val="0"/>
        </w:numPr>
        <w:spacing w:line="360" w:lineRule="auto"/>
        <w:rPr>
          <w:rFonts w:hint="default" w:eastAsiaTheme="minorEastAsia"/>
          <w:lang w:val="en-US" w:eastAsia="zh-CN"/>
        </w:rPr>
      </w:pPr>
      <w:r>
        <w:rPr>
          <w:rFonts w:hint="eastAsia"/>
          <w:lang w:val="en-US" w:eastAsia="zh-CN"/>
        </w:rPr>
        <w:t>应说明本课程与课程标准、行业或职业标准、相关技能大赛（若有）对接情况。</w:t>
      </w:r>
    </w:p>
    <w:bookmarkEnd w:id="2"/>
    <w:bookmarkEnd w:id="3"/>
    <w:p>
      <w:pPr>
        <w:pStyle w:val="3"/>
        <w:pageBreakBefore w:val="0"/>
        <w:widowControl w:val="0"/>
        <w:kinsoku/>
        <w:wordWrap/>
        <w:topLinePunct w:val="0"/>
        <w:autoSpaceDE/>
        <w:autoSpaceDN/>
        <w:bidi w:val="0"/>
        <w:adjustRightInd/>
        <w:snapToGrid/>
        <w:spacing w:before="0" w:after="0" w:line="360" w:lineRule="auto"/>
        <w:jc w:val="lef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二、学情分析</w:t>
      </w:r>
    </w:p>
    <w:p>
      <w:pPr>
        <w:pStyle w:val="4"/>
        <w:overflowPunct w:val="0"/>
        <w:spacing w:before="0" w:line="360" w:lineRule="auto"/>
        <w:ind w:left="0" w:leftChars="0" w:firstLine="0" w:firstLineChars="0"/>
        <w:rPr>
          <w:sz w:val="24"/>
          <w:szCs w:val="24"/>
        </w:rPr>
      </w:pPr>
      <w:r>
        <w:rPr>
          <w:rFonts w:hint="eastAsia" w:eastAsia="宋体" w:cs="宋体"/>
          <w:spacing w:val="-3"/>
          <w:sz w:val="24"/>
          <w:szCs w:val="24"/>
          <w:lang w:val="en-US" w:eastAsia="zh-CN"/>
        </w:rPr>
        <w:t>应对授课对象整体情况从知识技能基础、认知实践能力、学习特点等三个维度进行分析。</w:t>
      </w:r>
    </w:p>
    <w:p>
      <w:pPr>
        <w:pStyle w:val="3"/>
        <w:pageBreakBefore w:val="0"/>
        <w:widowControl w:val="0"/>
        <w:numPr>
          <w:ilvl w:val="0"/>
          <w:numId w:val="0"/>
        </w:numPr>
        <w:kinsoku/>
        <w:wordWrap/>
        <w:topLinePunct w:val="0"/>
        <w:autoSpaceDE/>
        <w:autoSpaceDN/>
        <w:bidi w:val="0"/>
        <w:adjustRightInd/>
        <w:snapToGrid/>
        <w:spacing w:before="0" w:after="0" w:line="360" w:lineRule="auto"/>
        <w:jc w:val="left"/>
        <w:textAlignment w:val="auto"/>
        <w:rPr>
          <w:rFonts w:hint="default" w:asciiTheme="minorEastAsia" w:hAnsiTheme="minorEastAsia" w:cstheme="minorEastAsia"/>
          <w:b/>
          <w:sz w:val="24"/>
          <w:szCs w:val="24"/>
          <w:lang w:val="en-US"/>
        </w:rPr>
      </w:pPr>
      <w:bookmarkStart w:id="4" w:name="_Toc18297"/>
      <w:bookmarkStart w:id="5" w:name="_Toc308"/>
      <w:bookmarkStart w:id="6" w:name="_Toc13991"/>
      <w:bookmarkStart w:id="7" w:name="_Toc27164"/>
      <w:r>
        <w:rPr>
          <w:rFonts w:hint="eastAsia" w:asciiTheme="minorEastAsia" w:hAnsiTheme="minorEastAsia" w:cstheme="minorEastAsia"/>
          <w:b/>
          <w:sz w:val="24"/>
          <w:szCs w:val="24"/>
          <w:lang w:val="en-US" w:eastAsia="zh-CN"/>
        </w:rPr>
        <w:t>三、教学目标及重难点</w:t>
      </w:r>
    </w:p>
    <w:p>
      <w:pPr>
        <w:spacing w:line="360" w:lineRule="auto"/>
        <w:rPr>
          <w:rFonts w:hint="default" w:eastAsiaTheme="minorEastAsia"/>
          <w:lang w:val="en-US" w:eastAsia="zh-CN"/>
        </w:rPr>
      </w:pPr>
      <w:r>
        <w:rPr>
          <w:rFonts w:hint="eastAsia"/>
          <w:lang w:val="en-US" w:eastAsia="zh-CN"/>
        </w:rPr>
        <w:t>根据课程标准及学情分析明确课程教学目标及重难点并给出突出重点、突破难点的方法及教师建议。</w:t>
      </w:r>
    </w:p>
    <w:bookmarkEnd w:id="4"/>
    <w:bookmarkEnd w:id="5"/>
    <w:bookmarkEnd w:id="6"/>
    <w:p>
      <w:pPr>
        <w:pStyle w:val="3"/>
        <w:pageBreakBefore w:val="0"/>
        <w:widowControl w:val="0"/>
        <w:numPr>
          <w:ilvl w:val="0"/>
          <w:numId w:val="0"/>
        </w:numPr>
        <w:kinsoku/>
        <w:wordWrap/>
        <w:topLinePunct w:val="0"/>
        <w:autoSpaceDE/>
        <w:autoSpaceDN/>
        <w:bidi w:val="0"/>
        <w:adjustRightInd/>
        <w:snapToGrid/>
        <w:spacing w:before="0" w:after="0" w:line="360" w:lineRule="auto"/>
        <w:jc w:val="left"/>
        <w:textAlignment w:val="auto"/>
        <w:rPr>
          <w:rFonts w:asciiTheme="minorEastAsia" w:hAnsiTheme="minorEastAsia" w:cstheme="minorEastAsia"/>
          <w:b/>
          <w:sz w:val="24"/>
          <w:szCs w:val="24"/>
        </w:rPr>
      </w:pPr>
      <w:r>
        <w:rPr>
          <w:rFonts w:hint="eastAsia" w:asciiTheme="minorEastAsia" w:hAnsiTheme="minorEastAsia" w:cstheme="minorEastAsia"/>
          <w:b/>
          <w:sz w:val="24"/>
          <w:szCs w:val="24"/>
          <w:lang w:val="en-US" w:eastAsia="zh-CN"/>
        </w:rPr>
        <w:t>四、教学资源</w:t>
      </w:r>
    </w:p>
    <w:p>
      <w:pPr>
        <w:spacing w:line="360" w:lineRule="auto"/>
        <w:rPr>
          <w:rFonts w:hint="default" w:eastAsiaTheme="minorEastAsia"/>
          <w:lang w:val="en-US" w:eastAsia="zh-CN"/>
        </w:rPr>
      </w:pPr>
      <w:r>
        <w:rPr>
          <w:rFonts w:hint="eastAsia"/>
          <w:lang w:val="en-US" w:eastAsia="zh-CN"/>
        </w:rPr>
        <w:t>简述可供本课程教学使用的教材、信息化、设备、场地等教学资源。</w:t>
      </w:r>
    </w:p>
    <w:bookmarkEnd w:id="7"/>
    <w:p>
      <w:pPr>
        <w:pStyle w:val="3"/>
        <w:pageBreakBefore w:val="0"/>
        <w:widowControl w:val="0"/>
        <w:numPr>
          <w:ilvl w:val="0"/>
          <w:numId w:val="0"/>
        </w:numPr>
        <w:kinsoku/>
        <w:wordWrap/>
        <w:overflowPunct/>
        <w:topLinePunct w:val="0"/>
        <w:autoSpaceDE/>
        <w:autoSpaceDN/>
        <w:bidi w:val="0"/>
        <w:adjustRightInd/>
        <w:snapToGrid/>
        <w:spacing w:before="0" w:after="0" w:line="360" w:lineRule="auto"/>
        <w:ind w:leftChars="0"/>
        <w:jc w:val="left"/>
        <w:textAlignment w:val="auto"/>
        <w:rPr>
          <w:rFonts w:hint="eastAsia" w:asciiTheme="minorEastAsia" w:hAnsiTheme="minorEastAsia" w:eastAsiaTheme="minorEastAsia" w:cstheme="minorEastAsia"/>
          <w:sz w:val="24"/>
          <w:szCs w:val="24"/>
          <w:lang w:val="en-US" w:eastAsia="zh-CN"/>
        </w:rPr>
      </w:pPr>
      <w:bookmarkStart w:id="8" w:name="_Toc16549"/>
      <w:bookmarkStart w:id="9" w:name="_Toc14116"/>
      <w:bookmarkStart w:id="10" w:name="_Toc13946"/>
      <w:bookmarkStart w:id="11" w:name="_Toc7600"/>
      <w:r>
        <w:rPr>
          <w:rFonts w:hint="eastAsia" w:asciiTheme="minorEastAsia" w:hAnsiTheme="minorEastAsia" w:eastAsiaTheme="minorEastAsia" w:cstheme="minorEastAsia"/>
          <w:sz w:val="24"/>
          <w:szCs w:val="24"/>
          <w:lang w:val="en-US" w:eastAsia="zh-CN"/>
        </w:rPr>
        <w:t>五、教学整体策略</w:t>
      </w:r>
    </w:p>
    <w:p>
      <w:pPr>
        <w:numPr>
          <w:ilvl w:val="0"/>
          <w:numId w:val="0"/>
        </w:numPr>
        <w:spacing w:line="360" w:lineRule="auto"/>
        <w:ind w:leftChars="0"/>
        <w:rPr>
          <w:rFonts w:hint="default"/>
          <w:lang w:val="en-US" w:eastAsia="zh-CN"/>
        </w:rPr>
      </w:pPr>
      <w:r>
        <w:rPr>
          <w:rFonts w:hint="eastAsia"/>
          <w:lang w:val="en-US" w:eastAsia="zh-CN"/>
        </w:rPr>
        <w:t>根据教学目标、结合学情分析，</w:t>
      </w:r>
    </w:p>
    <w:p>
      <w:pPr>
        <w:pStyle w:val="3"/>
        <w:numPr>
          <w:ilvl w:val="0"/>
          <w:numId w:val="0"/>
        </w:numPr>
        <w:spacing w:before="0" w:after="0" w:line="360" w:lineRule="auto"/>
        <w:jc w:val="left"/>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六、课程育人设计</w:t>
      </w:r>
    </w:p>
    <w:p>
      <w:pPr>
        <w:numPr>
          <w:ilvl w:val="0"/>
          <w:numId w:val="0"/>
        </w:numPr>
        <w:spacing w:line="360" w:lineRule="auto"/>
        <w:ind w:left="-199" w:leftChars="-95" w:firstLine="210" w:firstLineChars="100"/>
        <w:rPr>
          <w:rFonts w:hint="default"/>
          <w:sz w:val="24"/>
          <w:szCs w:val="24"/>
          <w:lang w:val="en-US" w:eastAsia="zh-CN"/>
        </w:rPr>
      </w:pPr>
      <w:r>
        <w:rPr>
          <w:rFonts w:hint="eastAsia"/>
          <w:lang w:val="en-US" w:eastAsia="zh-CN"/>
        </w:rPr>
        <w:t>根据课程内容及特点，设计课程育人的主题，并选取合适的案例、活动在合适的课程内容处完成。</w:t>
      </w:r>
    </w:p>
    <w:bookmarkEnd w:id="8"/>
    <w:bookmarkEnd w:id="9"/>
    <w:bookmarkEnd w:id="10"/>
    <w:bookmarkEnd w:id="11"/>
    <w:p>
      <w:pPr>
        <w:pStyle w:val="3"/>
        <w:pageBreakBefore w:val="0"/>
        <w:widowControl w:val="0"/>
        <w:kinsoku/>
        <w:wordWrap/>
        <w:overflowPunct/>
        <w:topLinePunct w:val="0"/>
        <w:autoSpaceDE/>
        <w:autoSpaceDN/>
        <w:bidi w:val="0"/>
        <w:adjustRightInd/>
        <w:snapToGrid/>
        <w:spacing w:before="0" w:after="0" w:line="360" w:lineRule="auto"/>
        <w:jc w:val="left"/>
        <w:textAlignment w:val="auto"/>
        <w:rPr>
          <w:rFonts w:hint="default"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sz w:val="24"/>
          <w:szCs w:val="24"/>
          <w:lang w:val="en-US" w:eastAsia="zh-CN"/>
        </w:rPr>
        <w:t>七、</w:t>
      </w:r>
      <w:r>
        <w:rPr>
          <w:rFonts w:hint="eastAsia" w:asciiTheme="minorEastAsia" w:hAnsiTheme="minorEastAsia" w:eastAsiaTheme="minorEastAsia" w:cstheme="minorEastAsia"/>
          <w:sz w:val="24"/>
          <w:szCs w:val="24"/>
        </w:rPr>
        <w:t>教学评价</w:t>
      </w:r>
      <w:r>
        <w:rPr>
          <w:rFonts w:hint="eastAsia" w:asciiTheme="minorEastAsia" w:hAnsiTheme="minorEastAsia" w:eastAsiaTheme="minorEastAsia" w:cstheme="minorEastAsia"/>
          <w:sz w:val="24"/>
          <w:szCs w:val="24"/>
          <w:lang w:val="en-US" w:eastAsia="zh-CN"/>
        </w:rPr>
        <w:t>设计</w:t>
      </w:r>
    </w:p>
    <w:p>
      <w:pPr>
        <w:numPr>
          <w:ilvl w:val="0"/>
          <w:numId w:val="0"/>
        </w:numPr>
        <w:spacing w:line="360" w:lineRule="auto"/>
        <w:ind w:left="-199" w:leftChars="-95" w:firstLine="210" w:firstLineChars="100"/>
        <w:rPr>
          <w:rFonts w:hint="default"/>
          <w:lang w:val="en-US" w:eastAsia="zh-CN"/>
        </w:rPr>
      </w:pPr>
      <w:r>
        <w:rPr>
          <w:rFonts w:hint="eastAsia"/>
          <w:lang w:val="en-US" w:eastAsia="zh-CN"/>
        </w:rPr>
        <w:t>根据课程目标和课程特点，结合课程标准的要求，设计具体的评价方式和标准。</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swiss"/>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altName w:val="Calibri"/>
    <w:panose1 w:val="020F0302020204030204"/>
    <w:charset w:val="00"/>
    <w:family w:val="swiss"/>
    <w:pitch w:val="default"/>
    <w:sig w:usb0="00000000" w:usb1="00000000"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DDE9A58"/>
    <w:multiLevelType w:val="singleLevel"/>
    <w:tmpl w:val="7DDE9A58"/>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gwMTQzMjUwYjI3YjJhZTY4NjE2OGM2ZTU2ZTJmMDkifQ=="/>
  </w:docVars>
  <w:rsids>
    <w:rsidRoot w:val="436930C2"/>
    <w:rsid w:val="43693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autoRedefine/>
    <w:semiHidden/>
    <w:qFormat/>
    <w:uiPriority w:val="0"/>
  </w:style>
  <w:style w:type="table" w:default="1" w:styleId="6">
    <w:name w:val="Normal Table"/>
    <w:autoRedefine/>
    <w:semiHidden/>
    <w:uiPriority w:val="0"/>
    <w:tblPr>
      <w:tblCellMar>
        <w:top w:w="0" w:type="dxa"/>
        <w:left w:w="108" w:type="dxa"/>
        <w:bottom w:w="0" w:type="dxa"/>
        <w:right w:w="108" w:type="dxa"/>
      </w:tblCellMar>
    </w:tblPr>
  </w:style>
  <w:style w:type="paragraph" w:styleId="4">
    <w:name w:val="Body Text"/>
    <w:basedOn w:val="1"/>
    <w:unhideWhenUsed/>
    <w:qFormat/>
    <w:uiPriority w:val="1"/>
    <w:pPr>
      <w:spacing w:before="26"/>
      <w:ind w:left="120"/>
    </w:pPr>
    <w:rPr>
      <w:rFonts w:hint="eastAsia" w:ascii="宋体" w:hAnsi="宋体"/>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2024-01-04T01:49:00Z</dcterms:created>
  <dc:creator>武常</dc:creator>
  <cp:lastModifiedBy>武常</cp:lastModifiedBy>
  <dcterms:modified xsi:type="dcterms:W3CDTF">2024-01-04T01:51:36Z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DD0F6DC12C494F0A9D2A3EBC52C3CD9F_11</vt:lpwstr>
  </property>
</Properties>
</file>