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AVAILABILITY GROUP [SQLCL02AG01]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MODIFY REPLICA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N'ExtraDB01' WITH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(SECONDARY_ROLE (ALLOW_CONNECTIONS = READ_ONLY));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AVAILABILITY GROUP [SQLCL02AG01]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MODIFY REPLICA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N'ExtraDB01' WITH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(SECONDARY_ROLE (READ_ONLY_ROUTING_URL = N'TCP://ExtraDB01.oktogo.prod:1433'));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AVAILABILITY GROUP [SQLCL02AG01]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MODIFY REPLICA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N'ExtraDB02' WITH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(SECONDARY_ROLE (ALLOW_CONNECTIONS = READ_ONLY));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AVAILABILITY GROUP [SQLCL02AG01]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MODIFY REPLICA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N'ExtraDB02' WITH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(SECONDARY_ROLE (READ_ONLY_ROUTING_URL = N'TCP://ExtraDB02.oktogo.prod:1433'));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AVAILABILITY GROUP [SQLCL02AG01]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MODIFY REPLICA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N'ExtraDB01' WITH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(PRIMARY_ROLE (READ_ONLY_ROUTING_LIST=('ExtraDB02','ExtraDB01')));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AVAILABILITY GROUP [SQLCL02AG01]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MODIFY REPLICA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N'ExtraDB02' WITH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(PRIMARY_ROLE (READ_ONLY_ROUTING_LIST=('ExtraDB01','ExtraDB02')));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