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https://habrahabr.ru/post/111207/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0" w:before="0" w:lineRule="auto"/>
        <w:contextualSpacing w:val="0"/>
      </w:pPr>
      <w:bookmarkStart w:colFirst="0" w:colLast="0" w:name="_gziipqogfoag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5"/>
          <w:szCs w:val="25"/>
          <w:highlight w:val="white"/>
          <w:rtl w:val="0"/>
        </w:rPr>
        <w:t xml:space="preserve">1. CT (Change Tracking).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Зачастую путают с CDC (Change Data Capture). Но эти инструменты различны как в назначении, так и в реализации. CT предназначен для отслеживания фактов изменений (в каких строках, какие данные были изменены (CRUD)), в то время как CDC хранит историю изменений (все версии строк, в том числе те, которые были удалены). Что касается реализации, CDC основан на чтении журнала транзакций (асинхронен), в то время как CT работает 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Для каждой таблицы, для которой включено отслеживание изменений, создается системная таблица, в которой хранился ID измененной строки, битовая маска для идентификации измененных колонок, тип операции.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Для включения CT нужно активировать его на уровне БД и для конкретной таблицы: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ChangeTracking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change_tracking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change_retention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10 minutes, auto_cleanup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Orders enable change_tracking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track_columns_updated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Более детально (описание параметров, примеры использования и детальная информация) в отличной </w:t>
      </w:r>
      <w:hyperlink r:id="rId6">
        <w:r w:rsidDel="00000000" w:rsidR="00000000" w:rsidRPr="00000000">
          <w:rPr>
            <w:rFonts w:ascii="Verdana" w:cs="Verdana" w:eastAsia="Verdana" w:hAnsi="Verdana"/>
            <w:color w:val="990099"/>
            <w:sz w:val="21"/>
            <w:szCs w:val="21"/>
            <w:highlight w:val="white"/>
            <w:rtl w:val="0"/>
          </w:rPr>
          <w:t xml:space="preserve">статье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0" w:before="0" w:lineRule="auto"/>
        <w:contextualSpacing w:val="0"/>
      </w:pPr>
      <w:bookmarkStart w:colFirst="0" w:colLast="0" w:name="_dxlqdz4stai4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5"/>
          <w:szCs w:val="25"/>
          <w:highlight w:val="white"/>
          <w:rtl w:val="0"/>
        </w:rPr>
        <w:t xml:space="preserve">2. CDC (Change Data Capture)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Средство для отслеживания измененных данных. Основными отличиями от CT являются асинхронная реализация (как писалось выше) и хранение всех версий измененных (CRUD) данных. Для хранения измененных данных CDC использует системные таблицы в схеме cdc. Для каждой таблицы, для которой активирован CDC, создается таблица с названием по типу cdc.dbo_Orders_CT (для таблицы dbo.Orders).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362200"/>
            <wp:effectExtent b="0" l="0" r="0" t="0"/>
            <wp:docPr descr="image" id="1" name="image01.png"/>
            <a:graphic>
              <a:graphicData uri="http://schemas.openxmlformats.org/drawingml/2006/picture">
                <pic:pic>
                  <pic:nvPicPr>
                    <pic:cNvPr descr="image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*_lsn – (log sequence number ) — своего рода идентификаторы транзакции в логе.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$operation — тип операции (1 — delete, 2 — insert, 3 — update (версия строки до обновления), 4 — update (версия строки после обновления).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$update_mask — битовая маска, указывающая на изменившиеся ячейки в строке.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ID и все остальные справа — ячейки соотв. структуре таблицы, изменения в которой отслеживаются.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Для активации CDC Вам нужно активировать его на уровне БД для конкретной таблицы: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sys.</w:t>
      </w:r>
      <w:r w:rsidDel="00000000" w:rsidR="00000000" w:rsidRPr="00000000">
        <w:rPr>
          <w:rFonts w:ascii="Courier New" w:cs="Courier New" w:eastAsia="Courier New" w:hAnsi="Courier New"/>
          <w:color w:val="202020"/>
          <w:sz w:val="21"/>
          <w:szCs w:val="21"/>
          <w:highlight w:val="white"/>
          <w:rtl w:val="0"/>
        </w:rPr>
        <w:t xml:space="preserve">sp_cdc_enable_db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sys.</w:t>
      </w:r>
      <w:r w:rsidDel="00000000" w:rsidR="00000000" w:rsidRPr="00000000">
        <w:rPr>
          <w:rFonts w:ascii="Courier New" w:cs="Courier New" w:eastAsia="Courier New" w:hAnsi="Courier New"/>
          <w:color w:val="202020"/>
          <w:sz w:val="21"/>
          <w:szCs w:val="21"/>
          <w:highlight w:val="white"/>
          <w:rtl w:val="0"/>
        </w:rPr>
        <w:t xml:space="preserve">sp_cdc_enable_table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@source_schema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'dbo'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@source_name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@role_name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'cdc'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@capture_instance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'dbo_Orders'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@supports_net_changes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1,&lt;br/&gt;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@index_name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'id_idx'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@captured_column_list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null,&lt;br/&gt;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highlight w:val="white"/>
          <w:rtl w:val="0"/>
        </w:rPr>
        <w:t xml:space="preserve">FILEGROUP_NAME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@source_schema — схема, которой принадлежит таблица, для которой активируем CDC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@source_name — название таблицы, для которой активируем CDC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@role_name — имя роли, которая будет иметь право на просмотр изменений (при отсутствии — создается автоматически)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@capture_instance — соответствует части названия, которое будет выдано соответстующей системной таблице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@supports_net_changes — поддержка возможности отображения результирующего набора изменений (только последние версии данных). Для этого необходимо наличие уникального индекса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@index_name — собственно, название уникального индекса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@captured_column_list — список полей, для которых будет активировано отслеживание изменений. По умолчанию — все.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@filegroup_name — файловая группа, в которой будут размещена системная таблица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 чисто практической точки зрения, значительный минус CDC это то, что невозможно зафиксировать автора изменений. Конечно, никто не мешает добавить столбец в системную таблицу cdc.dbo_Orders_CT с дефолтным значением suser_sname() (в моей практике это работает), но подобные манипуляции с системными таблицами — не лучший способ построения отказоустойчивой системы.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Примеры запросов к сохраненным данным и развернутое описание в </w:t>
      </w:r>
      <w:hyperlink r:id="rId8">
        <w:r w:rsidDel="00000000" w:rsidR="00000000" w:rsidRPr="00000000">
          <w:rPr>
            <w:rFonts w:ascii="Verdana" w:cs="Verdana" w:eastAsia="Verdana" w:hAnsi="Verdana"/>
            <w:color w:val="990099"/>
            <w:sz w:val="21"/>
            <w:szCs w:val="21"/>
            <w:highlight w:val="white"/>
            <w:rtl w:val="0"/>
          </w:rPr>
          <w:t xml:space="preserve">статье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brahabr.ru/post/111207/" TargetMode="External"/><Relationship Id="rId6" Type="http://schemas.openxmlformats.org/officeDocument/2006/relationships/hyperlink" Target="http://blogs.msdn.com/b/alexejs/archive/2009/08/09/change-tracking.aspx" TargetMode="External"/><Relationship Id="rId7" Type="http://schemas.openxmlformats.org/officeDocument/2006/relationships/image" Target="media/image01.png"/><Relationship Id="rId8" Type="http://schemas.openxmlformats.org/officeDocument/2006/relationships/hyperlink" Target="http://blogs.msdn.com/b/alexejs/archive/2009/08/07/cdc.aspx" TargetMode="External"/></Relationships>
</file>