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64" w:lineRule="auto"/>
        <w:jc w:val="center"/>
      </w:pPr>
      <w:r>
        <w:rPr>
          <w:rFonts w:ascii="Microsoft YaHei" w:hAnsi="Microsoft YaHei" w:eastAsia="Microsoft YaHei"/>
          <w:b/>
          <w:color w:val="111111"/>
          <w:sz w:val="40"/>
        </w:rPr>
        <w:t>Stage 2.1 功能验收报告</w:t>
      </w:r>
    </w:p>
    <w:p>
      <w:pPr>
        <w:spacing w:before="0" w:after="280" w:line="264" w:lineRule="auto"/>
        <w:jc w:val="center"/>
      </w:pPr>
      <w:r>
        <w:rPr>
          <w:rFonts w:ascii="Microsoft YaHei" w:hAnsi="Microsoft YaHei" w:eastAsia="Microsoft YaHei"/>
          <w:b w:val="0"/>
          <w:color w:val="666666"/>
          <w:sz w:val="20"/>
        </w:rPr>
        <w:t>同城活动发现与陌生人组局平台 | 2026-07-08</w:t>
      </w:r>
    </w:p>
    <w:p>
      <w:pPr>
        <w:spacing w:before="280" w:after="120" w:line="264" w:lineRule="auto"/>
      </w:pPr>
      <w:r>
        <w:rPr>
          <w:rFonts w:ascii="Microsoft YaHei" w:hAnsi="Microsoft YaHei" w:eastAsia="Microsoft YaHei"/>
          <w:b/>
          <w:color w:val="111111"/>
          <w:sz w:val="30"/>
        </w:rPr>
        <w:t>1. 验收结论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468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fill="F2F4F7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111111"/>
                <w:sz w:val="20"/>
              </w:rPr>
              <w:t>项目</w:t>
            </w:r>
          </w:p>
        </w:tc>
        <w:tc>
          <w:tcPr>
            <w:tcW w:type="dxa" w:w="468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fill="F2F4F7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111111"/>
                <w:sz w:val="20"/>
              </w:rPr>
              <w:t>结果</w:t>
            </w:r>
          </w:p>
        </w:tc>
      </w:tr>
      <w:tr>
        <w:tc>
          <w:tcPr>
            <w:tcW w:type="dxa" w:w="468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111"/>
                <w:sz w:val="19"/>
              </w:rPr>
              <w:t>总体结论</w:t>
            </w:r>
          </w:p>
        </w:tc>
        <w:tc>
          <w:tcPr>
            <w:tcW w:type="dxa" w:w="468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111"/>
                <w:sz w:val="19"/>
              </w:rPr>
              <w:t>Stage 2.1 功能验收已通过；本轮仅处理非阻塞前端 warning。</w:t>
            </w:r>
          </w:p>
        </w:tc>
      </w:tr>
      <w:tr>
        <w:tc>
          <w:tcPr>
            <w:tcW w:type="dxa" w:w="468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111"/>
                <w:sz w:val="19"/>
              </w:rPr>
              <w:t>本轮边界</w:t>
            </w:r>
          </w:p>
        </w:tc>
        <w:tc>
          <w:tcPr>
            <w:tcW w:type="dxa" w:w="468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111"/>
                <w:sz w:val="19"/>
              </w:rPr>
              <w:t>未进入 Stage 2.2；未修改后端、数据库迁移、候补队列业务、高德配置或地图加载逻辑。</w:t>
            </w:r>
          </w:p>
        </w:tc>
      </w:tr>
      <w:tr>
        <w:tc>
          <w:tcPr>
            <w:tcW w:type="dxa" w:w="468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111"/>
                <w:sz w:val="19"/>
              </w:rPr>
              <w:t>Warning 结果</w:t>
            </w:r>
          </w:p>
        </w:tc>
        <w:tc>
          <w:tcPr>
            <w:tcW w:type="dxa" w:w="468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111"/>
                <w:sz w:val="19"/>
              </w:rPr>
              <w:t>浏览器地图页控制台未再出现 Failed to resolve component: van-segmented。</w:t>
            </w:r>
          </w:p>
        </w:tc>
      </w:tr>
      <w:tr>
        <w:tc>
          <w:tcPr>
            <w:tcW w:type="dxa" w:w="468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111"/>
                <w:sz w:val="19"/>
              </w:rPr>
              <w:t>前端构建</w:t>
            </w:r>
          </w:p>
        </w:tc>
        <w:tc>
          <w:tcPr>
            <w:tcW w:type="dxa" w:w="468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111"/>
                <w:sz w:val="19"/>
              </w:rPr>
              <w:t>npm run build 成功；仅保留 Vite/第三方包既有体积和注释提示。</w:t>
            </w:r>
          </w:p>
        </w:tc>
      </w:tr>
    </w:tbl>
    <w:p>
      <w:pPr>
        <w:spacing w:before="280" w:after="120" w:line="264" w:lineRule="auto"/>
      </w:pPr>
      <w:r>
        <w:rPr>
          <w:rFonts w:ascii="Microsoft YaHei" w:hAnsi="Microsoft YaHei" w:eastAsia="Microsoft YaHei"/>
          <w:b/>
          <w:color w:val="111111"/>
          <w:sz w:val="30"/>
        </w:rPr>
        <w:t>2. Warning 根因与修复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fill="F2F4F7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111111"/>
                <w:sz w:val="20"/>
              </w:rPr>
              <w:t>检查项</w:t>
            </w:r>
          </w:p>
        </w:tc>
        <w:tc>
          <w:tcPr>
            <w:tcW w:type="dxa" w:w="312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fill="F2F4F7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111111"/>
                <w:sz w:val="20"/>
              </w:rPr>
              <w:t>发现</w:t>
            </w:r>
          </w:p>
        </w:tc>
        <w:tc>
          <w:tcPr>
            <w:tcW w:type="dxa" w:w="312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fill="F2F4F7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111111"/>
                <w:sz w:val="20"/>
              </w:rPr>
              <w:t>结论</w:t>
            </w:r>
          </w:p>
        </w:tc>
      </w:tr>
      <w:tr>
        <w:tc>
          <w:tcPr>
            <w:tcW w:type="dxa" w:w="312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111"/>
                <w:sz w:val="19"/>
              </w:rPr>
              <w:t>全局搜索</w:t>
            </w:r>
          </w:p>
        </w:tc>
        <w:tc>
          <w:tcPr>
            <w:tcW w:type="dxa" w:w="312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111"/>
                <w:sz w:val="19"/>
              </w:rPr>
              <w:t>frontend 中仅 ActivityMap.vue 使用 van-segmented。</w:t>
            </w:r>
          </w:p>
        </w:tc>
        <w:tc>
          <w:tcPr>
            <w:tcW w:type="dxa" w:w="312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111"/>
                <w:sz w:val="19"/>
              </w:rPr>
              <w:t>单点问题</w:t>
            </w:r>
          </w:p>
        </w:tc>
      </w:tr>
      <w:tr>
        <w:tc>
          <w:tcPr>
            <w:tcW w:type="dxa" w:w="312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111"/>
                <w:sz w:val="19"/>
              </w:rPr>
              <w:t>Vant 注册</w:t>
            </w:r>
          </w:p>
        </w:tc>
        <w:tc>
          <w:tcPr>
            <w:tcW w:type="dxa" w:w="312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111"/>
                <w:sz w:val="19"/>
              </w:rPr>
              <w:t>src/main.js 已 createApp(...).use(Vant)。</w:t>
            </w:r>
          </w:p>
        </w:tc>
        <w:tc>
          <w:tcPr>
            <w:tcW w:type="dxa" w:w="312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111"/>
                <w:sz w:val="19"/>
              </w:rPr>
              <w:t>不是全局注册遗漏</w:t>
            </w:r>
          </w:p>
        </w:tc>
      </w:tr>
      <w:tr>
        <w:tc>
          <w:tcPr>
            <w:tcW w:type="dxa" w:w="312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111"/>
                <w:sz w:val="19"/>
              </w:rPr>
              <w:t>Vant 版本</w:t>
            </w:r>
          </w:p>
        </w:tc>
        <w:tc>
          <w:tcPr>
            <w:tcW w:type="dxa" w:w="312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111"/>
                <w:sz w:val="19"/>
              </w:rPr>
              <w:t>本地 node_modules/vant 为 4.10.0。</w:t>
            </w:r>
          </w:p>
        </w:tc>
        <w:tc>
          <w:tcPr>
            <w:tcW w:type="dxa" w:w="312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111"/>
                <w:sz w:val="19"/>
              </w:rPr>
              <w:t>当前版本无 Segmented 导出</w:t>
            </w:r>
          </w:p>
        </w:tc>
      </w:tr>
      <w:tr>
        <w:tc>
          <w:tcPr>
            <w:tcW w:type="dxa" w:w="312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111"/>
                <w:sz w:val="19"/>
              </w:rPr>
              <w:t>修复方案</w:t>
            </w:r>
          </w:p>
        </w:tc>
        <w:tc>
          <w:tcPr>
            <w:tcW w:type="dxa" w:w="312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111"/>
                <w:sz w:val="19"/>
              </w:rPr>
              <w:t>使用 ActivityMap.vue 内轻量自定义距离选择器替代。</w:t>
            </w:r>
          </w:p>
        </w:tc>
        <w:tc>
          <w:tcPr>
            <w:tcW w:type="dxa" w:w="312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111"/>
                <w:sz w:val="19"/>
              </w:rPr>
              <w:t>不新增依赖，不强引不存在组件</w:t>
            </w:r>
          </w:p>
        </w:tc>
      </w:tr>
    </w:tbl>
    <w:p>
      <w:pPr>
        <w:spacing w:before="0" w:after="120" w:line="264" w:lineRule="auto"/>
      </w:pPr>
      <w:r>
        <w:rPr>
          <w:rFonts w:ascii="Microsoft YaHei" w:hAnsi="Microsoft YaHei" w:eastAsia="Microsoft YaHei"/>
          <w:b w:val="0"/>
          <w:color w:val="111111"/>
          <w:sz w:val="21"/>
        </w:rPr>
        <w:t>修复仅改动前端地图页组件：保留 distanceOptions、distanceKm 和 loadNearbyActivities()，点击 1km/3km/5km/10km 后仍沿用原接口参数刷新附近活动。</w:t>
      </w:r>
    </w:p>
    <w:p>
      <w:pPr>
        <w:spacing w:before="280" w:after="120" w:line="264" w:lineRule="auto"/>
      </w:pPr>
      <w:r>
        <w:rPr>
          <w:rFonts w:ascii="Microsoft YaHei" w:hAnsi="Microsoft YaHei" w:eastAsia="Microsoft YaHei"/>
          <w:b/>
          <w:color w:val="111111"/>
          <w:sz w:val="30"/>
        </w:rPr>
        <w:t>3. 浏览器验证记录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fill="F2F4F7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111111"/>
                <w:sz w:val="20"/>
              </w:rPr>
              <w:t>场景</w:t>
            </w:r>
          </w:p>
        </w:tc>
        <w:tc>
          <w:tcPr>
            <w:tcW w:type="dxa" w:w="312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fill="F2F4F7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111111"/>
                <w:sz w:val="20"/>
              </w:rPr>
              <w:t>验证动作</w:t>
            </w:r>
          </w:p>
        </w:tc>
        <w:tc>
          <w:tcPr>
            <w:tcW w:type="dxa" w:w="312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fill="F2F4F7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111111"/>
                <w:sz w:val="20"/>
              </w:rPr>
              <w:t>结果</w:t>
            </w:r>
          </w:p>
        </w:tc>
      </w:tr>
      <w:tr>
        <w:tc>
          <w:tcPr>
            <w:tcW w:type="dxa" w:w="312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111"/>
                <w:sz w:val="19"/>
              </w:rPr>
              <w:t>地图页打开</w:t>
            </w:r>
          </w:p>
        </w:tc>
        <w:tc>
          <w:tcPr>
            <w:tcW w:type="dxa" w:w="312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111"/>
                <w:sz w:val="19"/>
              </w:rPr>
              <w:t>登录 user01 / 123456 后访问 /map。</w:t>
            </w:r>
          </w:p>
        </w:tc>
        <w:tc>
          <w:tcPr>
            <w:tcW w:type="dxa" w:w="312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111"/>
                <w:sz w:val="19"/>
              </w:rPr>
              <w:t>页面正常打开，地图容器和活动列表区域可见。</w:t>
            </w:r>
          </w:p>
        </w:tc>
      </w:tr>
      <w:tr>
        <w:tc>
          <w:tcPr>
            <w:tcW w:type="dxa" w:w="312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111"/>
                <w:sz w:val="19"/>
              </w:rPr>
              <w:t>距离筛选</w:t>
            </w:r>
          </w:p>
        </w:tc>
        <w:tc>
          <w:tcPr>
            <w:tcW w:type="dxa" w:w="312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111"/>
                <w:sz w:val="19"/>
              </w:rPr>
              <w:t>依次点击 1km、3km、5km、10km。</w:t>
            </w:r>
          </w:p>
        </w:tc>
        <w:tc>
          <w:tcPr>
            <w:tcW w:type="dxa" w:w="312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111"/>
                <w:sz w:val="19"/>
              </w:rPr>
              <w:t>选中态和 aria-checked 均正确更新。</w:t>
            </w:r>
          </w:p>
        </w:tc>
      </w:tr>
      <w:tr>
        <w:tc>
          <w:tcPr>
            <w:tcW w:type="dxa" w:w="312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111"/>
                <w:sz w:val="19"/>
              </w:rPr>
              <w:t>控制台 warning</w:t>
            </w:r>
          </w:p>
        </w:tc>
        <w:tc>
          <w:tcPr>
            <w:tcW w:type="dxa" w:w="312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111"/>
                <w:sz w:val="19"/>
              </w:rPr>
              <w:t>采集地图页 warn/error 日志。</w:t>
            </w:r>
          </w:p>
        </w:tc>
        <w:tc>
          <w:tcPr>
            <w:tcW w:type="dxa" w:w="312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111"/>
                <w:sz w:val="19"/>
              </w:rPr>
              <w:t>van-segmented warning 计数为 0。</w:t>
            </w:r>
          </w:p>
        </w:tc>
      </w:tr>
      <w:tr>
        <w:tc>
          <w:tcPr>
            <w:tcW w:type="dxa" w:w="312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111"/>
                <w:sz w:val="19"/>
              </w:rPr>
              <w:t>候补页面</w:t>
            </w:r>
          </w:p>
        </w:tc>
        <w:tc>
          <w:tcPr>
            <w:tcW w:type="dxa" w:w="312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111"/>
                <w:sz w:val="19"/>
              </w:rPr>
              <w:t>优先打开活动 20。</w:t>
            </w:r>
          </w:p>
        </w:tc>
        <w:tc>
          <w:tcPr>
            <w:tcW w:type="dxa" w:w="312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111"/>
                <w:sz w:val="19"/>
              </w:rPr>
              <w:t>活动详情页可打开，候补人数字段正常展示。</w:t>
            </w:r>
          </w:p>
        </w:tc>
      </w:tr>
      <w:tr>
        <w:tc>
          <w:tcPr>
            <w:tcW w:type="dxa" w:w="312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111"/>
                <w:sz w:val="19"/>
              </w:rPr>
              <w:t>通知页面</w:t>
            </w:r>
          </w:p>
        </w:tc>
        <w:tc>
          <w:tcPr>
            <w:tcW w:type="dxa" w:w="312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111"/>
                <w:sz w:val="19"/>
              </w:rPr>
              <w:t>访问 /notices。</w:t>
            </w:r>
          </w:p>
        </w:tc>
        <w:tc>
          <w:tcPr>
            <w:tcW w:type="dxa" w:w="312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111"/>
                <w:sz w:val="19"/>
              </w:rPr>
              <w:t>页面正常打开；当前 user01 数据下显示暂无系统通知。</w:t>
            </w:r>
          </w:p>
        </w:tc>
      </w:tr>
    </w:tbl>
    <w:p>
      <w:pPr>
        <w:spacing w:before="280" w:after="120" w:line="264" w:lineRule="auto"/>
      </w:pPr>
      <w:r>
        <w:rPr>
          <w:rFonts w:ascii="Microsoft YaHei" w:hAnsi="Microsoft YaHei" w:eastAsia="Microsoft YaHei"/>
          <w:b/>
          <w:color w:val="111111"/>
          <w:sz w:val="30"/>
        </w:rPr>
        <w:t>4. 交付截图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fill="F2F4F7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111111"/>
                <w:sz w:val="20"/>
              </w:rPr>
              <w:t>文件</w:t>
            </w:r>
          </w:p>
        </w:tc>
        <w:tc>
          <w:tcPr>
            <w:tcW w:type="dxa" w:w="312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fill="F2F4F7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111111"/>
                <w:sz w:val="20"/>
              </w:rPr>
              <w:t>页面</w:t>
            </w:r>
          </w:p>
        </w:tc>
        <w:tc>
          <w:tcPr>
            <w:tcW w:type="dxa" w:w="312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fill="F2F4F7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111111"/>
                <w:sz w:val="20"/>
              </w:rPr>
              <w:t>说明</w:t>
            </w:r>
          </w:p>
        </w:tc>
      </w:tr>
      <w:tr>
        <w:tc>
          <w:tcPr>
            <w:tcW w:type="dxa" w:w="312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111"/>
                <w:sz w:val="19"/>
              </w:rPr>
              <w:t>screenshots/stage2.1-map.png</w:t>
            </w:r>
          </w:p>
        </w:tc>
        <w:tc>
          <w:tcPr>
            <w:tcW w:type="dxa" w:w="312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111"/>
                <w:sz w:val="19"/>
              </w:rPr>
              <w:t>/map</w:t>
            </w:r>
          </w:p>
        </w:tc>
        <w:tc>
          <w:tcPr>
            <w:tcW w:type="dxa" w:w="312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111"/>
                <w:sz w:val="19"/>
              </w:rPr>
              <w:t>地图页、距离选择器、附近活动列表。</w:t>
            </w:r>
          </w:p>
        </w:tc>
      </w:tr>
      <w:tr>
        <w:tc>
          <w:tcPr>
            <w:tcW w:type="dxa" w:w="312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111"/>
                <w:sz w:val="19"/>
              </w:rPr>
              <w:t>screenshots/stage2.1-waitlist.png</w:t>
            </w:r>
          </w:p>
        </w:tc>
        <w:tc>
          <w:tcPr>
            <w:tcW w:type="dxa" w:w="312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111"/>
                <w:sz w:val="19"/>
              </w:rPr>
              <w:t>/activities/20</w:t>
            </w:r>
          </w:p>
        </w:tc>
        <w:tc>
          <w:tcPr>
            <w:tcW w:type="dxa" w:w="312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111"/>
                <w:sz w:val="19"/>
              </w:rPr>
              <w:t>活动详情中的候补人数和报名操作区域。</w:t>
            </w:r>
          </w:p>
        </w:tc>
      </w:tr>
      <w:tr>
        <w:tc>
          <w:tcPr>
            <w:tcW w:type="dxa" w:w="312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111"/>
                <w:sz w:val="19"/>
              </w:rPr>
              <w:t>screenshots/stage2.1-notices.png</w:t>
            </w:r>
          </w:p>
        </w:tc>
        <w:tc>
          <w:tcPr>
            <w:tcW w:type="dxa" w:w="312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111"/>
                <w:sz w:val="19"/>
              </w:rPr>
              <w:t>/notices</w:t>
            </w:r>
          </w:p>
        </w:tc>
        <w:tc>
          <w:tcPr>
            <w:tcW w:type="dxa" w:w="312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111"/>
                <w:sz w:val="19"/>
              </w:rPr>
              <w:t>系统通知页面；当前 user01 数据为空列表。</w:t>
            </w:r>
          </w:p>
        </w:tc>
      </w:tr>
    </w:tbl>
    <w:p>
      <w:pPr>
        <w:spacing w:before="0" w:after="120" w:line="264" w:lineRule="auto"/>
      </w:pPr>
      <w:r>
        <w:rPr>
          <w:rFonts w:ascii="Microsoft YaHei" w:hAnsi="Microsoft YaHei" w:eastAsia="Microsoft YaHei"/>
          <w:b w:val="0"/>
          <w:color w:val="111111"/>
          <w:sz w:val="21"/>
        </w:rPr>
        <w:t>PNG 截图作为独立交付物保存，未嵌入本报告正文，避免长截图在 Word 中缩放后影响可读性。</w:t>
      </w:r>
    </w:p>
    <w:p>
      <w:pPr>
        <w:spacing w:before="280" w:after="120" w:line="264" w:lineRule="auto"/>
      </w:pPr>
      <w:r>
        <w:rPr>
          <w:rFonts w:ascii="Microsoft YaHei" w:hAnsi="Microsoft YaHei" w:eastAsia="Microsoft YaHei"/>
          <w:b/>
          <w:color w:val="111111"/>
          <w:sz w:val="30"/>
        </w:rPr>
        <w:t>5. Git 变更建议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fill="F2F4F7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111111"/>
                <w:sz w:val="20"/>
              </w:rPr>
              <w:t>路径</w:t>
            </w:r>
          </w:p>
        </w:tc>
        <w:tc>
          <w:tcPr>
            <w:tcW w:type="dxa" w:w="312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fill="F2F4F7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111111"/>
                <w:sz w:val="20"/>
              </w:rPr>
              <w:t>类型</w:t>
            </w:r>
          </w:p>
        </w:tc>
        <w:tc>
          <w:tcPr>
            <w:tcW w:type="dxa" w:w="312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fill="F2F4F7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111111"/>
                <w:sz w:val="20"/>
              </w:rPr>
              <w:t>说明</w:t>
            </w:r>
          </w:p>
        </w:tc>
      </w:tr>
      <w:tr>
        <w:tc>
          <w:tcPr>
            <w:tcW w:type="dxa" w:w="312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111"/>
                <w:sz w:val="19"/>
              </w:rPr>
              <w:t>frontend/src/views/mobile/ActivityMap.vue</w:t>
            </w:r>
          </w:p>
        </w:tc>
        <w:tc>
          <w:tcPr>
            <w:tcW w:type="dxa" w:w="312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111"/>
                <w:sz w:val="19"/>
              </w:rPr>
              <w:t>修改</w:t>
            </w:r>
          </w:p>
        </w:tc>
        <w:tc>
          <w:tcPr>
            <w:tcW w:type="dxa" w:w="312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111"/>
                <w:sz w:val="19"/>
              </w:rPr>
              <w:t>替换不存在的 van-segmented 组件，新增本页 scoped 样式。</w:t>
            </w:r>
          </w:p>
        </w:tc>
      </w:tr>
      <w:tr>
        <w:tc>
          <w:tcPr>
            <w:tcW w:type="dxa" w:w="312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111"/>
                <w:sz w:val="19"/>
              </w:rPr>
              <w:t>docs/stage2.1-acceptance-report.docx</w:t>
            </w:r>
          </w:p>
        </w:tc>
        <w:tc>
          <w:tcPr>
            <w:tcW w:type="dxa" w:w="312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111"/>
                <w:sz w:val="19"/>
              </w:rPr>
              <w:t>新增</w:t>
            </w:r>
          </w:p>
        </w:tc>
        <w:tc>
          <w:tcPr>
            <w:tcW w:type="dxa" w:w="312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111"/>
                <w:sz w:val="19"/>
              </w:rPr>
              <w:t>Stage 2.1 验收报告。</w:t>
            </w:r>
          </w:p>
        </w:tc>
      </w:tr>
      <w:tr>
        <w:tc>
          <w:tcPr>
            <w:tcW w:type="dxa" w:w="312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111"/>
                <w:sz w:val="19"/>
              </w:rPr>
              <w:t>screenshots/stage2.1-map.png</w:t>
            </w:r>
          </w:p>
        </w:tc>
        <w:tc>
          <w:tcPr>
            <w:tcW w:type="dxa" w:w="312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111"/>
                <w:sz w:val="19"/>
              </w:rPr>
              <w:t>新增</w:t>
            </w:r>
          </w:p>
        </w:tc>
        <w:tc>
          <w:tcPr>
            <w:tcW w:type="dxa" w:w="312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111"/>
                <w:sz w:val="19"/>
              </w:rPr>
              <w:t>地图页截图。</w:t>
            </w:r>
          </w:p>
        </w:tc>
      </w:tr>
      <w:tr>
        <w:tc>
          <w:tcPr>
            <w:tcW w:type="dxa" w:w="312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111"/>
                <w:sz w:val="19"/>
              </w:rPr>
              <w:t>screenshots/stage2.1-waitlist.png</w:t>
            </w:r>
          </w:p>
        </w:tc>
        <w:tc>
          <w:tcPr>
            <w:tcW w:type="dxa" w:w="312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111"/>
                <w:sz w:val="19"/>
              </w:rPr>
              <w:t>新增</w:t>
            </w:r>
          </w:p>
        </w:tc>
        <w:tc>
          <w:tcPr>
            <w:tcW w:type="dxa" w:w="312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111"/>
                <w:sz w:val="19"/>
              </w:rPr>
              <w:t>候补相关截图。</w:t>
            </w:r>
          </w:p>
        </w:tc>
      </w:tr>
      <w:tr>
        <w:tc>
          <w:tcPr>
            <w:tcW w:type="dxa" w:w="312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111"/>
                <w:sz w:val="19"/>
              </w:rPr>
              <w:t>screenshots/stage2.1-notices.png</w:t>
            </w:r>
          </w:p>
        </w:tc>
        <w:tc>
          <w:tcPr>
            <w:tcW w:type="dxa" w:w="312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111"/>
                <w:sz w:val="19"/>
              </w:rPr>
              <w:t>新增</w:t>
            </w:r>
          </w:p>
        </w:tc>
        <w:tc>
          <w:tcPr>
            <w:tcW w:type="dxa" w:w="312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111"/>
                <w:sz w:val="19"/>
              </w:rPr>
              <w:t>通知页截图。</w:t>
            </w:r>
          </w:p>
        </w:tc>
      </w:tr>
    </w:tbl>
    <w:p>
      <w:pPr>
        <w:spacing w:before="0" w:after="120" w:line="264" w:lineRule="auto"/>
      </w:pPr>
      <w:r>
        <w:rPr>
          <w:rFonts w:ascii="Microsoft YaHei" w:hAnsi="Microsoft YaHei" w:eastAsia="Microsoft YaHei"/>
          <w:b w:val="0"/>
          <w:color w:val="111111"/>
          <w:sz w:val="21"/>
        </w:rPr>
        <w:t>推荐 commit message：fix frontend segmented warning and add stage 2.1 acceptance artifacts</w:t>
      </w:r>
    </w:p>
    <w:p>
      <w:pPr>
        <w:spacing w:before="280" w:after="120" w:line="264" w:lineRule="auto"/>
      </w:pPr>
      <w:r>
        <w:rPr>
          <w:rFonts w:ascii="Microsoft YaHei" w:hAnsi="Microsoft YaHei" w:eastAsia="Microsoft YaHei"/>
          <w:b/>
          <w:color w:val="111111"/>
          <w:sz w:val="30"/>
        </w:rPr>
        <w:t>6. 剩余风险与说明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468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fill="F2F4F7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111111"/>
                <w:sz w:val="20"/>
              </w:rPr>
              <w:t>项目</w:t>
            </w:r>
          </w:p>
        </w:tc>
        <w:tc>
          <w:tcPr>
            <w:tcW w:type="dxa" w:w="468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fill="F2F4F7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111111"/>
                <w:sz w:val="20"/>
              </w:rPr>
              <w:t>结果</w:t>
            </w:r>
          </w:p>
        </w:tc>
      </w:tr>
      <w:tr>
        <w:tc>
          <w:tcPr>
            <w:tcW w:type="dxa" w:w="468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111"/>
                <w:sz w:val="19"/>
              </w:rPr>
              <w:t>高德配置</w:t>
            </w:r>
          </w:p>
        </w:tc>
        <w:tc>
          <w:tcPr>
            <w:tcW w:type="dxa" w:w="468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111"/>
                <w:sz w:val="19"/>
              </w:rPr>
              <w:t>保持现有 .env.development 配置，不读取或输出 Key/安全密钥。</w:t>
            </w:r>
          </w:p>
        </w:tc>
      </w:tr>
      <w:tr>
        <w:tc>
          <w:tcPr>
            <w:tcW w:type="dxa" w:w="468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111"/>
                <w:sz w:val="19"/>
              </w:rPr>
              <w:t>通知数据</w:t>
            </w:r>
          </w:p>
        </w:tc>
        <w:tc>
          <w:tcPr>
            <w:tcW w:type="dxa" w:w="468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111"/>
                <w:sz w:val="19"/>
              </w:rPr>
              <w:t>当前 user01 页面显示暂无系统通知，这是数据状态，不是前端启动错误。</w:t>
            </w:r>
          </w:p>
        </w:tc>
      </w:tr>
      <w:tr>
        <w:tc>
          <w:tcPr>
            <w:tcW w:type="dxa" w:w="468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111"/>
                <w:sz w:val="19"/>
              </w:rPr>
              <w:t>既有未跟踪文件</w:t>
            </w:r>
          </w:p>
        </w:tc>
        <w:tc>
          <w:tcPr>
            <w:tcW w:type="dxa" w:w="468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111"/>
                <w:sz w:val="19"/>
              </w:rPr>
              <w:t>backup_stage2_1_before.sql 已存在，本轮不修改、不删除。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66666"/>
        <w:sz w:val="18"/>
      </w:rPr>
      <w:t>Stage 2.1 Acceptance Report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11111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