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spacing w:line="240" w:lineRule="auto"/>
        <w:jc w:val="center"/>
      </w:pPr>
      <w:r>
        <w:rPr>
          <w:rFonts w:ascii="Times New Roman" w:hAnsi="Times New Roman" w:eastAsia="黑体" w:cs="Times New Roman"/>
          <w:sz w:val="44"/>
          <w:szCs w:val="44"/>
          <w:b/>
          <w:bCs/>
        </w:rPr>
        <w:t xml:space="preserve">修订说明回执</w:t>
      </w:r>
    </w:p>
    <w:p>
      <w:pPr>
        <w:pStyle w:val="Heading1"/>
        <w:spacing w:line="240" w:lineRule="auto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b/>
          <w:bCs/>
        </w:rPr>
        <w:t xml:space="preserve">一、返修信息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原稿为《面向智能电网的调度优化方法研究》导师返修稿，含批注 2 条、修订 2 处，批注人为王教授（2026-10-21）。本次修订逐条回应全部批注与修订，纪律是只改表达与论证支撑、不动科学事实，补充文献均为已核实的一手来源。回执于 2026-10-24 整理。</w:t>
      </w:r>
    </w:p>
    <w:p>
      <w:pPr>
        <w:pStyle w:val="Heading1"/>
        <w:spacing w:line="240" w:lineRule="auto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b/>
          <w:bCs/>
        </w:rPr>
        <w:t xml:space="preserve">二、逐条回执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表 1 批注与修订处理回执</w:t>
      </w:r>
    </w:p>
    <w:tbl>
      <w:tblPr>
        <w:tblW w:w="8998" w:type="dxa"/>
        <w:tblBorders>
          <w:top w:val="single" w:sz="12" w:space="0" w:color="auto"/>
          <w:bottom w:val="single" w:sz="12" w:space="0" w:color="auto"/>
        </w:tblBorders>
        <w:tblLayout w:type="fixed"/>
      </w:tblPr>
      <w:tblGrid>
        <w:gridCol w:w="699"/>
        <w:gridCol w:w="840"/>
        <w:gridCol w:w="2891"/>
        <w:gridCol w:w="3728"/>
        <w:gridCol w:w="840"/>
      </w:tblGrid>
      <w:tr>
        <w:tc>
          <w:tcPr>
            <w:tcW w:w="699" w:type="dxa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序号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类型</w:t>
            </w:r>
          </w:p>
        </w:tc>
        <w:tc>
          <w:tcPr>
            <w:tcW w:w="2891" w:type="dxa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导师意见 / 修订内容</w:t>
            </w:r>
          </w:p>
        </w:tc>
        <w:tc>
          <w:tcPr>
            <w:tcW w:w="3728" w:type="dxa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修改动作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状态</w:t>
            </w:r>
          </w:p>
        </w:tc>
      </w:tr>
      <w:tr>
        <w:tc>
          <w:tcPr>
            <w:tcW w:w="699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</w:t>
            </w:r>
          </w:p>
        </w:tc>
        <w:tc>
          <w:tcPr>
            <w:tcW w:w="840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批注 1</w:t>
            </w:r>
          </w:p>
        </w:tc>
        <w:tc>
          <w:tcPr>
            <w:tcW w:w="2891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插入的半句语法不通，请重写衔接；建议补充 1-2 篇近三年储能调度的文献支撑</w:t>
            </w:r>
          </w:p>
        </w:tc>
        <w:tc>
          <w:tcPr>
            <w:tcW w:w="3728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重写该句：以分号衔接两个并列论点，保留导师插入的概念；句末补充 2 篇文献引用（2024 年、2026 年各 1 篇，见文末参考文献）</w:t>
            </w:r>
          </w:p>
        </w:tc>
        <w:tc>
          <w:tcPr>
            <w:tcW w:w="840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已修改</w:t>
            </w:r>
          </w:p>
        </w:tc>
      </w:tr>
      <w:tr>
        <w:tc>
          <w:tcPr>
            <w:tcW w:w="699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</w:t>
            </w:r>
          </w:p>
        </w:tc>
        <w:tc>
          <w:tcPr>
            <w:tcW w:w="840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批注 2</w:t>
            </w:r>
          </w:p>
        </w:tc>
        <w:tc>
          <w:tcPr>
            <w:tcW w:w="2891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“显著提升”过于绝对，要么给出具体数字，要么改成“有所提升”</w:t>
            </w:r>
          </w:p>
        </w:tc>
        <w:tc>
          <w:tcPr>
            <w:tcW w:w="3728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采用“给出具体数字”方案：弃光率 3.00% 降至零、综合运行成本下降 2.09%，并删去“显著”二字由数字自证</w:t>
            </w:r>
          </w:p>
        </w:tc>
        <w:tc>
          <w:tcPr>
            <w:tcW w:w="840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已修改</w:t>
            </w:r>
          </w:p>
        </w:tc>
      </w:tr>
      <w:tr>
        <w:tc>
          <w:tcPr>
            <w:tcW w:w="699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3</w:t>
            </w:r>
          </w:p>
        </w:tc>
        <w:tc>
          <w:tcPr>
            <w:tcW w:w="840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修订 1</w:t>
            </w:r>
          </w:p>
        </w:tc>
        <w:tc>
          <w:tcPr>
            <w:tcW w:w="2891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插入“以及储能充放电的时空转移能力”</w:t>
            </w:r>
          </w:p>
        </w:tc>
        <w:tc>
          <w:tcPr>
            <w:tcW w:w="3728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与批注 1 一并处理：概念保留、句式重写进修订后语句</w:t>
            </w:r>
          </w:p>
        </w:tc>
        <w:tc>
          <w:tcPr>
            <w:tcW w:w="840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已接受</w:t>
            </w:r>
          </w:p>
        </w:tc>
      </w:tr>
      <w:tr>
        <w:tc>
          <w:tcPr>
            <w:tcW w:w="699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4</w:t>
            </w:r>
          </w:p>
        </w:tc>
        <w:tc>
          <w:tcPr>
            <w:tcW w:w="840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修订 2</w:t>
            </w:r>
          </w:p>
        </w:tc>
        <w:tc>
          <w:tcPr>
            <w:tcW w:w="2891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删除“非常”</w:t>
            </w:r>
          </w:p>
        </w:tc>
        <w:tc>
          <w:tcPr>
            <w:tcW w:w="3728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接受删除，修订后语句不含该词</w:t>
            </w:r>
          </w:p>
        </w:tc>
        <w:tc>
          <w:tcPr>
            <w:tcW w:w="840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已接受</w:t>
            </w:r>
          </w:p>
        </w:tc>
      </w:tr>
    </w:tbl>
    <w:p>
      <w:pPr>
        <w:spacing w:line="240" w:lineRule="auto"/>
      </w:pPr>
    </w:p>
    <w:p>
      <w:pPr>
        <w:pStyle w:val="Heading1"/>
        <w:spacing w:line="240" w:lineRule="auto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b/>
          <w:bCs/>
        </w:rPr>
        <w:t xml:space="preserve">三、修改前后对照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表 2 修改前后对照</w:t>
      </w:r>
    </w:p>
    <w:tbl>
      <w:tblPr>
        <w:tblW w:w="8998" w:type="dxa"/>
        <w:tblBorders>
          <w:top w:val="single" w:sz="12" w:space="0" w:color="auto"/>
          <w:bottom w:val="single" w:sz="12" w:space="0" w:color="auto"/>
        </w:tblBorders>
        <w:tblLayout w:type="fixed"/>
      </w:tblPr>
      <w:tblGrid>
        <w:gridCol w:w="1214"/>
        <w:gridCol w:w="3435"/>
        <w:gridCol w:w="4349"/>
      </w:tblGrid>
      <w:tr>
        <w:tc>
          <w:tcPr>
            <w:tcW w:w="1214" w:type="dxa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位置</w:t>
            </w:r>
          </w:p>
        </w:tc>
        <w:tc>
          <w:tcPr>
            <w:tcW w:w="3435" w:type="dxa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修改前</w:t>
            </w:r>
          </w:p>
        </w:tc>
        <w:tc>
          <w:tcPr>
            <w:tcW w:w="4349" w:type="dxa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修改后</w:t>
            </w:r>
          </w:p>
        </w:tc>
      </w:tr>
      <w:tr>
        <w:tc>
          <w:tcPr>
            <w:tcW w:w="1214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绪论第 2 句</w:t>
            </w:r>
          </w:p>
        </w:tc>
        <w:tc>
          <w:tcPr>
            <w:tcW w:w="3435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光伏、风电接入规模越大，负荷曲线越难预测，以及储能充放电的时空转移能力值得纳入调度决策。</w:t>
            </w:r>
          </w:p>
        </w:tc>
        <w:tc>
          <w:tcPr>
            <w:tcW w:w="4349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光伏、风电接入规模越大，负荷曲线越难预测；储能充放电的时空转移能力，同样值得纳入调度决策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vertAlign w:val="superscript"/>
              </w:rPr>
              <w:t xml:space="preserve">[1-2]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。</w:t>
            </w:r>
          </w:p>
        </w:tc>
      </w:tr>
      <w:tr>
        <w:tc>
          <w:tcPr>
            <w:tcW w:w="1214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结论段</w:t>
            </w:r>
          </w:p>
        </w:tc>
        <w:tc>
          <w:tcPr>
            <w:tcW w:w="3435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算例结果表明，本文方法能够显著提升电网运行的经济性，具有重要的理论意义和实践价值。</w:t>
            </w:r>
          </w:p>
        </w:tc>
        <w:tc>
          <w:tcPr>
            <w:tcW w:w="4349" w:type="dxa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算例结果表明，本文方法能够提升电网运行的经济性：典型日弃光率由 3.00% 降至零，综合运行成本较基准场景下降 2.09%，具有重要的理论意义和实践价值。</w:t>
            </w:r>
          </w:p>
        </w:tc>
      </w:tr>
    </w:tbl>
    <w:p>
      <w:pPr>
        <w:spacing w:line="240" w:lineRule="auto"/>
      </w:pPr>
    </w:p>
    <w:p>
      <w:pPr>
        <w:pStyle w:val="Heading1"/>
        <w:spacing w:line="240" w:lineRule="auto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b/>
          <w:bCs/>
        </w:rPr>
        <w:t xml:space="preserve">四、修订后段落全文</w:t>
      </w:r>
    </w:p>
    <w:p>
      <w:pPr>
        <w:pStyle w:val="Heading2"/>
        <w:spacing w:line="240" w:lineRule="auto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b/>
          <w:bCs/>
        </w:rPr>
        <w:t xml:space="preserve">4.1 绪论（修订后）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智能电网的调度方法正从人工经验走向自动优化。光伏、风电接入规模越大，负荷曲线越难预测；储能充放电的时空转移能力，同样值得纳入调度决策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 xml:space="preserve">[1-2]</w:t>
      </w:r>
      <w:r>
        <w:rPr>
          <w:rFonts w:ascii="Times New Roman" w:hAnsi="Times New Roman" w:eastAsia="宋体" w:cs="Times New Roman"/>
          <w:sz w:val="24"/>
          <w:szCs w:val="24"/>
        </w:rPr>
        <w:t xml:space="preserve">。传统的机组组合方法依赖人工经验，效率有限。</w:t>
      </w:r>
    </w:p>
    <w:p>
      <w:pPr>
        <w:pStyle w:val="Heading2"/>
        <w:spacing w:line="240" w:lineRule="auto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b/>
          <w:bCs/>
        </w:rPr>
        <w:t xml:space="preserve">4.2 结论（修订后）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算例结果表明，本文方法能够提升电网运行的经济性：典型日弃光率由 3.00% 降至零，综合运行成本较基准场景下降 2.09%，具有重要的理论意义和实践价值。</w:t>
      </w:r>
    </w:p>
    <w:p>
      <w:pPr>
        <w:pStyle w:val="Heading1"/>
        <w:spacing w:line="240" w:lineRule="auto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b/>
          <w:bCs/>
        </w:rPr>
        <w:t xml:space="preserve">五、新增文献条目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按批注 1 要求补充近三年储能调度方向文献 2 篇，均为经期刊官网原文页核实的一手来源；在返修稿中按出现顺序编为第 1、2 条，若并入主论文则对应其第 8、9 条并整体重排编号。</w:t>
      </w:r>
    </w:p>
    <w:p>
      <w:pPr>
        <w:pStyle w:val="Heading1"/>
        <w:spacing w:line="240" w:lineRule="auto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b/>
          <w:bCs/>
        </w:rPr>
        <w:t xml:space="preserve">六、备注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结论段引用的数字取自论文算例的真实计算结果：无储能基准场景与优化调度场景对比，弃光电量由 70 MWh 降至 0（弃光率 3.00% 降至零），综合运行成本由 262.36 万元降至 256.87 万元、降幅 2.09%，计算过程可复现。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如需将本回执的修改同步落进主论文《智能电网调度优化论文.docx》（其对应段落文字不同，将按批注意见等效改写并重排引用编号），或在返修稿原件基础上接受全部修订生成清稿，可随时执行。</w:t>
      </w:r>
    </w:p>
    <w:p>
      <w:pPr>
        <w:pStyle w:val="Heading1"/>
        <w:spacing w:line="240" w:lineRule="auto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b/>
          <w:bCs/>
        </w:rPr>
        <w:t xml:space="preserve">参考文献</w:t>
      </w:r>
    </w:p>
    <w:p>
      <w:pPr>
        <w:spacing w:line="240" w:lineRule="auto"/>
        <w:ind w:left="480" w:hanging="48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[1] 宋妍萌, 芮钧, 赵宇. 风光水火储多能互补双层优化调度研究[J]. 中国农村水利水电, 2024(3): 34-40.</w:t>
      </w:r>
    </w:p>
    <w:p>
      <w:pPr>
        <w:spacing w:line="240" w:lineRule="auto"/>
        <w:ind w:left="480" w:hanging="48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[2] 凌煦, 汤纯, 王莹, 等. 促进风光新能源消纳的抽水蓄能电站优化调度研究[J]. 中国农村水利水电, 2026(5): 143-148.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0a6c7144-344f-4c47-ac45-3b254a51ee6d</w:t>
      </w:r>
    </w:p>
    <w:sectPr>
      <w:pgSz w:w="11906" w:h="16838"/>
      <w:pgMar w:top="1417" w:right="1417" w:bottom="1417" w:left="1417" w:header="851" w:footer="992" w:gutter="0"/>
    </w:sectPr>
  </w:body>
</w:document>
</file>

<file path=word/settings.xml><?xml version="1.0" encoding="utf-8"?>
<w:settings xmlns:w="http://schemas.openxmlformats.org/wordprocessingml/2006/main">
  <w:updateFields w:val="true"/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line="240" w:lineRule="auto"/>
        <w:jc w:val="both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240" w:after="240" w:line="240" w:lineRule="auto"/>
      <w:jc w:val="center"/>
    </w:pPr>
    <w:rPr>
      <w:rFonts w:eastAsia="黑体"/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240" w:after="120" w:line="240" w:lineRule="auto"/>
      <w:jc w:val="center"/>
      <w:outlineLvl w:val="0"/>
    </w:pPr>
    <w:rPr>
      <w:rFonts w:eastAsia="黑体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180" w:after="60" w:line="240" w:lineRule="auto"/>
      <w:jc w:val="left"/>
      <w:outlineLvl w:val="1"/>
    </w:pPr>
    <w:rPr>
      <w:rFonts w:eastAsia="黑体"/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20" w:after="60" w:line="240" w:lineRule="auto"/>
      <w:jc w:val="left"/>
      <w:outlineLvl w:val="2"/>
    </w:pPr>
    <w:rPr>
      <w:rFonts w:eastAsia="黑体"/>
      <w:b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academic-writer</Application>
</Properties>
</file>

<file path=docProps/core.xml><?xml version="1.0" encoding="utf-8"?>
<cp:coreProperties xmlns:cp="http://schemas.openxmlformats.org/package/2006/metadata/core-properties" xmlns:dc="http://purl.org/dc/elements/1.1/">
  <dc:title>修订说明回执</dc:title>
  <dc:creato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0a6c7144-344f-4c47-ac45-3b254a51ee6d","ReservedCode1":"9a91bb70-34ce-40dd-8ee3-b697c02dfd45","ContentPropagator":"001191110102MAD55U9H0F10002","PropagateID":"0a6c7144-344f-4c47-ac45-3b254a51ee6d","ReservedCode2":"9a91bb70-34ce-40dd-8ee3-b697c02dfd45"}</vt:lpwstr>
  </property>
</Properties>
</file>