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b/>
          <w:sz w:val="48"/>
        </w:rPr>
        <w:t>三方系统接入钉钉授权系统流程文档</w:t>
      </w:r>
    </w:p>
    <w:p>
      <w:pPr>
        <w:spacing w:before="0" w:beforeLines="0" w:after="0" w:afterLines="0" w:line="240" w:lineRule="auto"/>
        <w:jc w:val="left"/>
        <w:outlineLvl w:val="0"/>
      </w:pPr>
      <w:r>
        <w:rPr>
          <w:rFonts w:ascii="宋体" w:hAnsi="宋体" w:eastAsia="宋体"/>
          <w:sz w:val="21"/>
        </w:rPr>
        <w:t>目录</w:t>
      </w:r>
    </w:p>
    <w:p>
      <w:pPr>
        <w:pStyle w:val="3"/>
        <w:outlineLvl w:val="0"/>
      </w:pPr>
      <w:r>
        <w:rPr>
          <w:rFonts w:ascii="Arial" w:hAnsi="Arial" w:eastAsia="等线" w:cs="Arial"/>
        </w:rPr>
        <w:t>一、引言</w:t>
      </w:r>
    </w:p>
    <w:p>
      <w:pPr>
        <w:pStyle w:val="3"/>
        <w:outlineLvl w:val="0"/>
      </w:pPr>
      <w:r>
        <w:rPr>
          <w:rFonts w:ascii="Arial" w:hAnsi="Arial" w:eastAsia="等线" w:cs="Arial"/>
        </w:rPr>
        <w:t>二、核心流程图</w:t>
      </w:r>
    </w:p>
    <w:p>
      <w:pPr>
        <w:pStyle w:val="3"/>
        <w:outlineLvl w:val="0"/>
      </w:pPr>
      <w:r>
        <w:rPr>
          <w:rFonts w:ascii="Arial" w:hAnsi="Arial" w:eastAsia="等线" w:cs="Arial"/>
        </w:rPr>
        <w:t>三、流程详细说明</w:t>
      </w:r>
    </w:p>
    <w:p>
      <w:pPr>
        <w:pStyle w:val="4"/>
        <w:outlineLvl w:val="1"/>
      </w:pPr>
      <w:r>
        <w:rPr>
          <w:rFonts w:ascii="Arial" w:hAnsi="Arial" w:eastAsia="等线" w:cs="Arial"/>
        </w:rPr>
        <w:t>3.1 流程图说明</w:t>
      </w:r>
    </w:p>
    <w:p>
      <w:pPr>
        <w:pStyle w:val="4"/>
        <w:outlineLvl w:val="1"/>
      </w:pPr>
      <w:r>
        <w:rPr>
          <w:rFonts w:ascii="Arial" w:hAnsi="Arial" w:eastAsia="等线" w:cs="Arial"/>
        </w:rPr>
        <w:t>3.2 步骤详情表</w:t>
      </w:r>
    </w:p>
    <w:p/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一、引言</w:t>
      </w:r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本文档详细描述三方系统接入钉钉授权系统的完整流程，涵盖从用户授权发起至业务接口访问的全环节，明确各角色交互逻辑及核心作用，为系统开发、测试及运维提供参考依据。</w:t>
      </w:r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二、核心流程图</w:t>
      </w:r>
    </w:p>
    <w:p>
      <w:r>
        <w:drawing>
          <wp:inline distT="0" distB="0" distL="0" distR="0">
            <wp:extent cx="6191250" cy="5407660"/>
            <wp:effectExtent l="0" t="0" r="0" b="0"/>
            <wp:docPr id="1" name="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2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40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三、流程详细说明</w:t>
      </w:r>
    </w:p>
    <w:p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3.1 流程图说明</w:t>
      </w:r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本流程以“用户授权-凭证传递-身份验证-业务访问”为核心链路，涉及5个核心角色：钉钉客户端（用户身份验证载体）、三方系统前端（用户操作入口）、auth授权网页（统一授权入口）、auth授权服务（授权逻辑处理核心）、三方系统后端（业务逻辑及用户管理核心）。流程全程仅使用授权码（code）作为关键凭证，无冗余令牌，确保简洁性和安全性。</w:t>
      </w:r>
    </w:p>
    <w:p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3.2 步骤详情表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步骤序号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交互角色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具体动作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web（三方系统前端）→ auth授权网页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通过 window.location.href 跳转到统一授权页面，</w:t>
            </w:r>
          </w:p>
          <w:p>
            <w:pPr>
              <w:spacing w:before="120" w:after="120" w:line="288" w:lineRule="auto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携带回调地址 redirect_uri</w:t>
            </w:r>
            <w:r>
              <w:rPr>
                <w:rFonts w:hint="eastAsia" w:ascii="Arial" w:hAnsi="Arial" w:eastAsia="等线" w:cs="Arial"/>
                <w:sz w:val="22"/>
              </w:rPr>
              <w:t>,</w:t>
            </w:r>
          </w:p>
          <w:p>
            <w:pPr>
              <w:spacing w:before="120" w:after="120" w:line="288" w:lineRule="auto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</w:rPr>
              <w:t>客户端标识client_id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引导用户进入钉钉授权统一入口，明确授权后跳转回三方系统前端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钉钉客户端 → auth授权网页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用户用钉钉客户端扫码，确认授权三方系统访问自身信息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完成用户身份真实性校验（依托钉钉账号体系），获取用户授权许可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auth授权网页 → auth授权服务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授权网页向auth授权服务调用 login 接口，传递钉钉返回的授权信息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触发授权服务处理钉钉授权逻辑，申请合法授权凭证（code）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auth授权服务 → auth授权网页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仅返回 code（授权码），无x-token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提供唯一、临时的授权凭证，用于后续三方系统后端验证授权合法性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auth授权网页 → web（三方系统前端）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按预设的 redirect_uri 重定向回三方系统前端，URL参数中携带 code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将授权凭证（code）回传给三方系统前端，完成授权中间流程闭环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3.1.1.1（核心）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web（三方系统前端）→ 三方系统后端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前端调用自身后端接口，传递 code，申请业务访问令牌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前端无法直接对接auth授权服务，通过后端中转处理授权逻辑（安全校验+凭证兑换）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3.1.1.2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三方系统后端 → auth授权服务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后端调用 dingtalk_login_code 接口，携带 code 验证授权有效性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三方系统后端校验 code 合法性（防止伪造），获取访问钉钉用户信息的权限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3.1.1.3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auth授权服务 → 三方系统后端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返回 access_token（钉钉用户信息访问令牌）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提供合法凭证，允许三方系统后端获取钉钉用户基础信息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3.1.1.4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三方系统后端 → auth授权服务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调用 get_current_user 接口，携带 access_token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读取钉钉用户核心信息（如唯一标识、昵称），用于三方系统账号绑定/创建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3.1.1.5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auth授权服务 → 三方系统后端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返回 userinfo（钉钉用户基础信息）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提供三方系统账号创建/更新所需的核心数据，实现钉钉账号与三方系统账号关联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3.1.1.6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三方系统后端内部操作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执行 save user：首次授权则创建三方系统账号，已存在则更新账号信息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完成钉钉用户与三方系统账号的绑定，保障用户后续可正常登录使用三方系统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3.1.1.7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三方系统后端内部操作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生成 jwt-token（三方系统专属业务令牌）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生成适合三方系统业务场景的长期身份令牌，用于后续接口访问身份验证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3.1.1.8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三方系统后端 → web（三方系统前端）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将 jwt-token 返回给前端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前端获取合法业务令牌，具备访问三方系统业务接口的权限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web（三方系统前端）→ 三方系统后端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携带 jwt-token 调用三方系统业务接口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前端以合法身份访问业务功能（如查询数据、提交操作），完成授权→使用全流程</w:t>
            </w:r>
          </w:p>
        </w:tc>
      </w:tr>
    </w:tbl>
    <w:p>
      <w:pPr>
        <w:spacing w:before="320" w:after="120" w:line="288" w:lineRule="auto"/>
        <w:jc w:val="left"/>
        <w:rPr>
          <w:rFonts w:hint="eastAsia" w:ascii="Arial" w:hAnsi="Arial" w:eastAsia="等线" w:cs="Arial"/>
          <w:b/>
          <w:sz w:val="32"/>
        </w:rPr>
      </w:pPr>
    </w:p>
    <w:p>
      <w:pPr>
        <w:spacing w:before="320" w:after="120" w:line="288" w:lineRule="auto"/>
        <w:jc w:val="left"/>
        <w:outlineLvl w:val="0"/>
        <w:rPr>
          <w:rFonts w:hint="eastAsia"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</w:rPr>
        <w:t>步骤1前端重定向流程实现代码参考</w:t>
      </w:r>
    </w:p>
    <w:p>
      <w:pPr>
        <w:keepNext w:val="0"/>
        <w:keepLines w:val="0"/>
        <w:widowControl/>
        <w:jc w:val="left"/>
        <w:rPr>
          <w:rFonts w:hint="default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前端重定向代码，需要申请clientId和clientSecret以及rediectUrl</w:t>
      </w:r>
    </w:p>
    <w:p>
      <w:pPr>
        <w:keepNext w:val="0"/>
        <w:keepLines w:val="0"/>
        <w:widowControl/>
        <w:jc w:val="left"/>
        <w:rPr>
          <w:rFonts w:hint="eastAsia" w:ascii="Arial" w:hAnsi="Arial" w:eastAsia="等线" w:cs="Arial"/>
          <w:sz w:val="22"/>
        </w:rPr>
      </w:pP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/**</w:t>
      </w:r>
    </w:p>
    <w:p>
      <w:pPr>
        <w:keepNext w:val="0"/>
        <w:keepLines w:val="0"/>
        <w:widowControl/>
        <w:jc w:val="left"/>
        <w:rPr>
          <w:rFonts w:ascii="宋体" w:hAnsi="宋体" w:eastAsia="宋体" w:cs="宋体"/>
          <w:kern w:val="0"/>
          <w:sz w:val="24"/>
        </w:rPr>
      </w:pP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* 配置开发环境和线上环境之间的切换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* portal_uri 门户页面路径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* redirect_uri 本系统登录页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* server_uri 服务器地址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*/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let redirect_uri, server_uri, portal_uri;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const switchApiURL = () =&gt;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const strategy =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'production':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url: '</w:t>
      </w:r>
      <w:r>
        <w:rPr>
          <w:rStyle w:val="9"/>
          <w:rFonts w:ascii="宋体" w:hAnsi="宋体" w:eastAsia="宋体" w:cs="宋体"/>
          <w:sz w:val="24"/>
        </w:rPr>
        <w:t>https://www.renogy-dchome.com/#/',</w:t>
      </w:r>
      <w:r>
        <w:rPr>
          <w:rFonts w:ascii="宋体" w:hAnsi="宋体" w:eastAsia="宋体" w:cs="宋体"/>
          <w:kern w:val="0"/>
          <w:sz w:val="24"/>
        </w:rPr>
        <w:t xml:space="preserve"> 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id: 'dchome'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'test':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url: '</w:t>
      </w:r>
      <w:r>
        <w:rPr>
          <w:rStyle w:val="9"/>
          <w:rFonts w:ascii="宋体" w:hAnsi="宋体" w:eastAsia="宋体" w:cs="宋体"/>
          <w:sz w:val="24"/>
        </w:rPr>
        <w:t>https://t-dcmanager.renogy.cn/#/',</w:t>
      </w:r>
      <w:r>
        <w:rPr>
          <w:rFonts w:ascii="宋体" w:hAnsi="宋体" w:eastAsia="宋体" w:cs="宋体"/>
          <w:kern w:val="0"/>
          <w:sz w:val="24"/>
        </w:rPr>
        <w:t xml:space="preserve"> 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id: 'test-dchome'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'uat':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url: '</w:t>
      </w:r>
      <w:r>
        <w:rPr>
          <w:rStyle w:val="9"/>
          <w:rFonts w:ascii="宋体" w:hAnsi="宋体" w:eastAsia="宋体" w:cs="宋体"/>
          <w:sz w:val="24"/>
        </w:rPr>
        <w:t>https://uat-dcmanager.renogy.cn/#/',</w:t>
      </w:r>
      <w:r>
        <w:rPr>
          <w:rFonts w:ascii="宋体" w:hAnsi="宋体" w:eastAsia="宋体" w:cs="宋体"/>
          <w:kern w:val="0"/>
          <w:sz w:val="24"/>
        </w:rPr>
        <w:t xml:space="preserve"> 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id: 'dchome-uat'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'dev':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url: 'unknown',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id: 'unknown'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'development':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url: 'unknown',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id: 'unknown'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return strategy[process.env.VUE_APP_ENV] ? strategy[process.env.VUE_APP_ENV] : null;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const client_id = switchApiURL().id // 应用 client_id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const client_secret = 'renogy1314' // 应用密码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const grant_type = 'authorization_code' // 应用采取授权码模式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if (process.env.NODE_ENV == 'development')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redirect_uri = '</w:t>
      </w:r>
      <w:r>
        <w:rPr>
          <w:rStyle w:val="9"/>
          <w:rFonts w:ascii="宋体" w:hAnsi="宋体" w:eastAsia="宋体" w:cs="宋体"/>
          <w:sz w:val="24"/>
        </w:rPr>
        <w:t>http://192.168.20.170:9520/'</w:t>
      </w:r>
      <w:r>
        <w:rPr>
          <w:rFonts w:ascii="宋体" w:hAnsi="宋体" w:eastAsia="宋体" w:cs="宋体"/>
          <w:kern w:val="0"/>
          <w:sz w:val="24"/>
        </w:rPr>
        <w:t xml:space="preserve"> // 重定向地址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server_uri = '</w:t>
      </w:r>
      <w:r>
        <w:rPr>
          <w:rStyle w:val="9"/>
          <w:rFonts w:ascii="宋体" w:hAnsi="宋体" w:eastAsia="宋体" w:cs="宋体"/>
          <w:sz w:val="24"/>
        </w:rPr>
        <w:t>http://221.224.144.59:8082</w:t>
      </w:r>
      <w:r>
        <w:rPr>
          <w:rFonts w:ascii="宋体" w:hAnsi="宋体" w:eastAsia="宋体" w:cs="宋体"/>
          <w:kern w:val="0"/>
          <w:sz w:val="24"/>
        </w:rPr>
        <w:t xml:space="preserve"> ' // 服务端跳转地址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portal_uri = '</w:t>
      </w:r>
      <w:r>
        <w:rPr>
          <w:rStyle w:val="9"/>
          <w:rFonts w:ascii="宋体" w:hAnsi="宋体" w:eastAsia="宋体" w:cs="宋体"/>
          <w:sz w:val="24"/>
        </w:rPr>
        <w:t>http://192.168.20.169:10000/#/dashboard'</w:t>
      </w:r>
      <w:r>
        <w:rPr>
          <w:rFonts w:ascii="宋体" w:hAnsi="宋体" w:eastAsia="宋体" w:cs="宋体"/>
          <w:kern w:val="0"/>
          <w:sz w:val="24"/>
        </w:rPr>
        <w:t xml:space="preserve"> // 门户地址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 else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redirect_uri = switchApiURL().url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server_uri = '</w:t>
      </w:r>
      <w:r>
        <w:rPr>
          <w:rStyle w:val="9"/>
          <w:rFonts w:ascii="宋体" w:hAnsi="宋体" w:eastAsia="宋体" w:cs="宋体"/>
          <w:sz w:val="24"/>
        </w:rPr>
        <w:t>https://auth.renogy.cn</w:t>
      </w:r>
      <w:r>
        <w:rPr>
          <w:rFonts w:ascii="宋体" w:hAnsi="宋体" w:eastAsia="宋体" w:cs="宋体"/>
          <w:kern w:val="0"/>
          <w:sz w:val="24"/>
        </w:rPr>
        <w:t xml:space="preserve"> ' // 服务端跳转地址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portal_uri = '</w:t>
      </w:r>
      <w:r>
        <w:rPr>
          <w:rStyle w:val="9"/>
          <w:rFonts w:ascii="宋体" w:hAnsi="宋体" w:eastAsia="宋体" w:cs="宋体"/>
          <w:sz w:val="24"/>
        </w:rPr>
        <w:t>https://portal.renogy.cn</w:t>
      </w:r>
      <w:r>
        <w:rPr>
          <w:rFonts w:ascii="宋体" w:hAnsi="宋体" w:eastAsia="宋体" w:cs="宋体"/>
          <w:kern w:val="0"/>
          <w:sz w:val="24"/>
        </w:rPr>
        <w:t xml:space="preserve"> ' // 门户地址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// oauthToken 统一认证 请求参数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const oauthTokenParams =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client_id,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client_secret,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redirect_uri,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grant_type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// 应用跳转路径到授权码页面路径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const oauthTokenPath = `${server_uri}/oauth/authorize?client_id=${client_id}&amp;response_type=code&amp;scope=all&amp;redirect_uri=${encodeURIComponent(redirect_uri)}`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export {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portal_uri,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server_uri,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oauthTokenPath,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oauthTokenParams,</w:t>
      </w:r>
    </w:p>
    <w:p>
      <w:pPr>
        <w:keepNext w:val="0"/>
        <w:keepLines w:val="0"/>
        <w:widowControl/>
        <w:jc w:val="left"/>
      </w:pPr>
      <w:r>
        <w:rPr>
          <w:rFonts w:ascii="宋体" w:hAnsi="宋体" w:eastAsia="宋体" w:cs="宋体"/>
          <w:kern w:val="0"/>
          <w:sz w:val="24"/>
        </w:rPr>
        <w:t>}</w:t>
      </w:r>
    </w:p>
    <w:p>
      <w:pPr>
        <w:keepNext w:val="0"/>
        <w:keepLines w:val="0"/>
        <w:widowControl/>
        <w:jc w:val="left"/>
        <w:rPr>
          <w:rFonts w:hint="eastAsia" w:ascii="Arial" w:hAnsi="Arial" w:eastAsia="等线" w:cs="Arial"/>
          <w:sz w:val="22"/>
        </w:rPr>
      </w:pPr>
    </w:p>
    <w:p>
      <w:pPr>
        <w:spacing w:before="380" w:after="140" w:line="288" w:lineRule="auto"/>
        <w:jc w:val="left"/>
        <w:outlineLvl w:val="0"/>
      </w:pPr>
      <w:r>
        <w:rPr>
          <w:rFonts w:hint="eastAsia" w:ascii="Arial" w:hAnsi="Arial" w:eastAsia="等线" w:cs="Arial"/>
          <w:b/>
          <w:sz w:val="36"/>
        </w:rPr>
        <w:t xml:space="preserve">步骤3.1.1.2 </w:t>
      </w:r>
      <w:r>
        <w:rPr>
          <w:rFonts w:ascii="Arial" w:hAnsi="Arial" w:eastAsia="等线" w:cs="Arial"/>
          <w:b/>
          <w:sz w:val="36"/>
        </w:rPr>
        <w:t>获取钉钉访问令牌（access_token）接口</w:t>
      </w:r>
    </w:p>
    <w:p>
      <w:pPr>
        <w:spacing w:before="320" w:after="120" w:line="288" w:lineRule="auto"/>
        <w:jc w:val="left"/>
        <w:outlineLvl w:val="0"/>
      </w:pPr>
      <w:r>
        <w:rPr>
          <w:rFonts w:ascii="Arial" w:hAnsi="Arial" w:eastAsia="等线" w:cs="Arial"/>
          <w:b/>
          <w:sz w:val="32"/>
        </w:rPr>
        <w:t>接口基本信息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三方系统后端通过前端传递的授权码（code）及应用配置信息，向钉钉授权服务申请访问令牌（access_token），用于后续获取用户信息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第三方授权服务接口（三方系统后端主动调用）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接口依赖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需先通过前端获取用户授权码（code，临时有效）</w:t>
            </w:r>
          </w:p>
        </w:tc>
      </w:tr>
    </w:tbl>
    <w:p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请求URL</w:t>
      </w:r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基础格式：</w:t>
      </w:r>
      <w:r>
        <w:rPr>
          <w:rFonts w:ascii="Consolas" w:hAnsi="Consolas" w:eastAsia="Consolas" w:cs="Consolas"/>
          <w:sz w:val="22"/>
          <w:shd w:val="clear" w:fill="EFF0F1"/>
        </w:rPr>
        <w:t>{authUrl}/oauth/token</w:t>
      </w:r>
    </w:p>
    <w:p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占位符说明：</w:t>
      </w:r>
      <w:r>
        <w:rPr>
          <w:rFonts w:ascii="Consolas" w:hAnsi="Consolas" w:eastAsia="Consolas" w:cs="Consolas"/>
          <w:sz w:val="22"/>
          <w:shd w:val="clear" w:fill="EFF0F1"/>
        </w:rPr>
        <w:t>{authUrl}</w:t>
      </w:r>
      <w:r>
        <w:rPr>
          <w:rFonts w:ascii="Arial" w:hAnsi="Arial" w:eastAsia="等线" w:cs="Arial"/>
          <w:sz w:val="22"/>
        </w:rPr>
        <w:t xml:space="preserve"> 为钉钉授权服务基础地址</w:t>
      </w:r>
    </w:p>
    <w:p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Consolas" w:hAnsi="Consolas" w:eastAsia="Consolas" w:cs="Consolas"/>
          <w:sz w:val="22"/>
          <w:shd w:val="clear" w:fill="EFF0F1"/>
        </w:rPr>
        <w:t>authUrl</w:t>
      </w:r>
      <w:r>
        <w:rPr>
          <w:rFonts w:hint="eastAsia" w:ascii="Arial" w:hAnsi="Arial" w:eastAsia="等线" w:cs="Arial"/>
          <w:sz w:val="22"/>
        </w:rPr>
        <w:t>: https://auth.renogy.cn</w:t>
      </w:r>
    </w:p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请求头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头部名称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是否必选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Content-Type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固定值：application/x-www-form-urlencoded（Form表单格式）</w:t>
            </w:r>
          </w:p>
        </w:tc>
      </w:tr>
    </w:tbl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请求参数（Form表单格式）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参数名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是否必选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来源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code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前端传递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用户授权码，由auth授权网页重定向时携带，临时有效（过期需重新获取）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client_id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配置文件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  <w:rPr>
                <w:rFonts w:hint="default" w:eastAsia="等线"/>
              </w:rPr>
            </w:pPr>
            <w:r>
              <w:rPr>
                <w:rFonts w:ascii="Arial" w:hAnsi="Arial" w:eastAsia="等线" w:cs="Arial"/>
                <w:sz w:val="22"/>
              </w:rPr>
              <w:t>应用唯一标识，</w:t>
            </w:r>
            <w:r>
              <w:rPr>
                <w:rFonts w:hint="eastAsia" w:ascii="Arial" w:hAnsi="Arial" w:eastAsia="等线" w:cs="Arial"/>
                <w:sz w:val="22"/>
              </w:rPr>
              <w:t>需申请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client_secret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配置文件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  <w:rPr>
                <w:rFonts w:hint="default" w:eastAsia="等线"/>
              </w:rPr>
            </w:pPr>
            <w:r>
              <w:rPr>
                <w:rFonts w:ascii="Arial" w:hAnsi="Arial" w:eastAsia="等线" w:cs="Arial"/>
                <w:sz w:val="22"/>
              </w:rPr>
              <w:t>应用密钥，</w:t>
            </w:r>
            <w:r>
              <w:rPr>
                <w:rFonts w:hint="eastAsia" w:ascii="Arial" w:hAnsi="Arial" w:eastAsia="等线" w:cs="Arial"/>
                <w:sz w:val="22"/>
              </w:rPr>
              <w:t>需申请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redirect_uri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配置文件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  <w:rPr>
                <w:rFonts w:hint="default" w:eastAsia="等线"/>
              </w:rPr>
            </w:pPr>
            <w:r>
              <w:rPr>
                <w:rFonts w:ascii="Arial" w:hAnsi="Arial" w:eastAsia="等线" w:cs="Arial"/>
                <w:sz w:val="22"/>
              </w:rPr>
              <w:t>授权成功后的回调地址，</w:t>
            </w:r>
            <w:r>
              <w:rPr>
                <w:rFonts w:hint="eastAsia" w:ascii="Arial" w:hAnsi="Arial" w:eastAsia="等线" w:cs="Arial"/>
                <w:sz w:val="22"/>
              </w:rPr>
              <w:t>与client_id,client_uri需匹配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grant_type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固定值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授权类型，固定为authorization_code（授权码模式）</w:t>
            </w:r>
          </w:p>
        </w:tc>
      </w:tr>
    </w:tbl>
    <w:p>
      <w:pPr>
        <w:spacing w:before="320" w:after="120" w:line="288" w:lineRule="auto"/>
        <w:jc w:val="left"/>
        <w:outlineLvl w:val="0"/>
      </w:pPr>
      <w:r>
        <w:rPr>
          <w:rFonts w:ascii="Arial" w:hAnsi="Arial" w:eastAsia="等线" w:cs="Arial"/>
          <w:b/>
          <w:sz w:val="32"/>
        </w:rPr>
        <w:t>响应信息</w:t>
      </w:r>
    </w:p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响应格式（JSON）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"access_token": "string",  // 访问令牌，核心凭证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"expires_in": 7200,        // 令牌有效期（单位：秒），默认2小时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"token_type": "Bearer",    // 令牌类型，固定为Bearer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"refresh_token": "string"  // 刷新令牌（可选），用于令牌过期后刷新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是否必返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access_token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访问令牌，后续调用“获取用户信息接口”时需携带此凭证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expires_in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Integer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令牌有效期，默认7200秒（2小时），过期后需重新申请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token_type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令牌类型，固定为Bearer，拼接Authorization请求头时需包含此前缀（格式：Bearer {access_token}）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refresh_token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刷新令牌，用于access_token过期后，无需重新获取code即可刷新令牌</w:t>
            </w:r>
          </w:p>
        </w:tc>
      </w:tr>
    </w:tbl>
    <w:p>
      <w:pPr>
        <w:spacing w:before="320" w:after="120" w:line="288" w:lineRule="auto"/>
        <w:jc w:val="left"/>
        <w:outlineLvl w:val="0"/>
      </w:pPr>
      <w:r>
        <w:rPr>
          <w:rFonts w:ascii="Arial" w:hAnsi="Arial" w:eastAsia="等线" w:cs="Arial"/>
          <w:b/>
          <w:sz w:val="32"/>
        </w:rPr>
        <w:t>错误码说明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错误码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错误描述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可能原因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invalid_code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授权码无效或已过期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code超过有效期、重复使用或伪造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重新引导用户通过钉钉客户端扫码授权，获取新的code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invalid_client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客户端身份无效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client_id或client_secret与钉钉开放平台配置不一致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核对应用配置信息，确保与钉钉开放平台注册信息一致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redirect_uri_mismatch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回调地址不匹配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请求参数中redirect_uri与钉钉开放平台配置的回调地址不一致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统一回调地址配置，确保请求参数与平台配置一致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unsupported_grant_type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不支持的授权类型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grant_type参数值错误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确保grant_type固定设置为authorization_code</w:t>
            </w:r>
          </w:p>
        </w:tc>
      </w:tr>
    </w:tbl>
    <w:p>
      <w:pPr>
        <w:spacing w:before="380" w:after="140" w:line="288" w:lineRule="auto"/>
        <w:jc w:val="left"/>
        <w:outlineLvl w:val="0"/>
      </w:pPr>
      <w:r>
        <w:rPr>
          <w:rFonts w:hint="eastAsia" w:ascii="Arial" w:hAnsi="Arial" w:eastAsia="等线" w:cs="Arial"/>
          <w:b/>
          <w:sz w:val="36"/>
          <w:lang w:val="en-US" w:eastAsia="zh-CN"/>
        </w:rPr>
        <w:t>步骤</w:t>
      </w:r>
      <w:bookmarkStart w:id="0" w:name="_GoBack"/>
      <w:bookmarkEnd w:id="0"/>
      <w:r>
        <w:rPr>
          <w:rFonts w:hint="eastAsia" w:ascii="Arial" w:hAnsi="Arial" w:eastAsia="等线" w:cs="Arial"/>
          <w:b/>
          <w:sz w:val="36"/>
        </w:rPr>
        <w:t xml:space="preserve">3.1.1.4 </w:t>
      </w:r>
      <w:r>
        <w:rPr>
          <w:rFonts w:ascii="Arial" w:hAnsi="Arial" w:eastAsia="等线" w:cs="Arial"/>
          <w:b/>
          <w:sz w:val="36"/>
        </w:rPr>
        <w:t>获取钉钉当前用户信息接口</w:t>
      </w:r>
    </w:p>
    <w:p>
      <w:pPr>
        <w:spacing w:before="320" w:after="120" w:line="288" w:lineRule="auto"/>
        <w:jc w:val="left"/>
        <w:outlineLvl w:val="0"/>
      </w:pPr>
      <w:r>
        <w:rPr>
          <w:rFonts w:ascii="Arial" w:hAnsi="Arial" w:eastAsia="等线" w:cs="Arial"/>
          <w:b/>
          <w:sz w:val="32"/>
        </w:rPr>
        <w:t>接口基本信息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功能说明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  <w:rPr>
                <w:rFonts w:hint="default" w:eastAsia="等线"/>
              </w:rPr>
            </w:pPr>
            <w:r>
              <w:rPr>
                <w:rFonts w:ascii="Arial" w:hAnsi="Arial" w:eastAsia="等线" w:cs="Arial"/>
                <w:sz w:val="22"/>
              </w:rPr>
              <w:t>通过“获取访问令牌接口”返回的access_token，向钉钉资源服务查询当前授权用户的基础信息，返回结果对应</w:t>
            </w:r>
            <w:r>
              <w:rPr>
                <w:rFonts w:hint="eastAsia" w:ascii="Arial" w:hAnsi="Arial" w:eastAsia="等线" w:cs="Arial"/>
                <w:sz w:val="22"/>
              </w:rPr>
              <w:t>得钉钉账号信息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第三方资源服务接口（三方系统后端主动调用）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接口依赖</w:t>
            </w:r>
          </w:p>
        </w:tc>
        <w:tc>
          <w:tcPr>
            <w:tcW w:w="300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需先调用“获取钉钉访问令牌接口”获取有效access_token</w:t>
            </w:r>
          </w:p>
        </w:tc>
      </w:tr>
    </w:tbl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请求URL</w:t>
      </w:r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基础格式：</w:t>
      </w:r>
      <w:r>
        <w:rPr>
          <w:rFonts w:ascii="Consolas" w:hAnsi="Consolas" w:eastAsia="Consolas" w:cs="Consolas"/>
          <w:sz w:val="22"/>
          <w:shd w:val="clear" w:fill="EFF0F1"/>
        </w:rPr>
        <w:t>{resourceUrl}/api/v1/auth/get_current_user</w:t>
      </w:r>
    </w:p>
    <w:p>
      <w:p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占位符说明：</w:t>
      </w:r>
      <w:r>
        <w:rPr>
          <w:rFonts w:ascii="Consolas" w:hAnsi="Consolas" w:eastAsia="Consolas" w:cs="Consolas"/>
          <w:sz w:val="22"/>
          <w:shd w:val="clear" w:fill="EFF0F1"/>
        </w:rPr>
        <w:t>{resourceUrl}</w:t>
      </w:r>
      <w:r>
        <w:rPr>
          <w:rFonts w:ascii="Arial" w:hAnsi="Arial" w:eastAsia="等线" w:cs="Arial"/>
          <w:sz w:val="22"/>
        </w:rPr>
        <w:t xml:space="preserve"> 为钉钉资源服务基础地址</w:t>
      </w:r>
    </w:p>
    <w:p>
      <w:p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地址为 </w:t>
      </w:r>
      <w:r>
        <w:rPr>
          <w:rStyle w:val="9"/>
          <w:rFonts w:hint="eastAsia" w:ascii="Arial" w:hAnsi="Arial" w:eastAsia="等线" w:cs="Arial"/>
          <w:sz w:val="22"/>
        </w:rPr>
        <w:t>https://resource.renogy.cn</w:t>
      </w:r>
    </w:p>
    <w:p>
      <w:pPr>
        <w:spacing w:before="1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请求头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头部名称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是否必选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Authorization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身份验证凭证，格式：Bearer {access_token}，其中{access_token}为上一步获取的访问令牌</w:t>
            </w:r>
          </w:p>
        </w:tc>
      </w:tr>
    </w:tbl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请求参数</w:t>
      </w:r>
    </w:p>
    <w:p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无URL参数或请求体参数，身份验证通过请求头Authorization实现</w:t>
      </w:r>
    </w:p>
    <w:p>
      <w:pPr>
        <w:spacing w:before="320" w:after="120" w:line="288" w:lineRule="auto"/>
        <w:jc w:val="left"/>
        <w:outlineLvl w:val="0"/>
      </w:pPr>
      <w:r>
        <w:rPr>
          <w:rFonts w:ascii="Arial" w:hAnsi="Arial" w:eastAsia="等线" w:cs="Arial"/>
          <w:b/>
          <w:sz w:val="32"/>
        </w:rPr>
        <w:t>响应信息</w:t>
      </w:r>
    </w:p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响应格式（JSON）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"userId": "string",    // 员工id（对应DdUser实体类userId字段）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"email": "string",     // 员工电子邮箱（对应DdUser.email）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"jobnumber": "string", // 员工工号（对应DdUser.jobnumber）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"mobile": "string",    // 手机号码（脱敏，对应DdUser.mobile）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"name": "string",      // 员工姓名（对应DdUser.name）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"unionId": "string",   // 开发者企业内唯一标识（固定，对应DdUser.unionId）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"avatar": "string"     // 头像URL（对应DdUser.avatar）</w:t>
            </w:r>
            <w: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30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0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DEE0E3" w:sz="2" w:space="0"/>
          <w:left w:val="single" w:color="DEE0E3" w:sz="2" w:space="0"/>
          <w:bottom w:val="single" w:color="DEE0E3" w:sz="2" w:space="0"/>
          <w:right w:val="single" w:color="DEE0E3" w:sz="2" w:space="0"/>
          <w:insideH w:val="single" w:color="DEE0E3" w:sz="2" w:space="0"/>
          <w:insideV w:val="single" w:color="DEE0E3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是否必返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对应实体字段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钉钉企业内员工唯一ID，作为用户在企业内的核心标识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email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员工电子邮箱，若用户未绑定邮箱则返回null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jobnumber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jobnumber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企业内配置的员工工号，未配置则返回null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mobile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mobile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员工手机号码，已脱敏处理（如：138****1234），未绑定则返回null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员工真实姓名，取自钉钉账号配置信息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unionId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unionId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开发者企业账号范围内的唯一标识，系统生成且固定不变，跨应用唯一</w:t>
            </w:r>
          </w:p>
        </w:tc>
      </w:tr>
      <w:tr>
        <w:tblPrEx>
          <w:tblBorders>
            <w:top w:val="single" w:color="DEE0E3" w:sz="2" w:space="0"/>
            <w:left w:val="single" w:color="DEE0E3" w:sz="2" w:space="0"/>
            <w:bottom w:val="single" w:color="DEE0E3" w:sz="2" w:space="0"/>
            <w:right w:val="single" w:color="DEE0E3" w:sz="2" w:space="0"/>
            <w:insideH w:val="single" w:color="DEE0E3" w:sz="2" w:space="0"/>
            <w:insideV w:val="single" w:color="DEE0E3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1650" w:type="dxa"/>
          </w:tcPr>
          <w:p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员工头像的URL地址，未设置头像则返回钉钉默认头像地址</w:t>
            </w:r>
          </w:p>
        </w:tc>
      </w:tr>
    </w:tbl>
    <w:p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b/>
          <w:sz w:val="36"/>
        </w:rPr>
        <w:t>注意事项</w:t>
      </w:r>
    </w:p>
    <w:p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安全性：client_secret为敏感信息，需存储在配置文件中，禁止硬编码或前端传输；access_token需妥善保管，避免泄露。</w:t>
      </w:r>
    </w:p>
    <w:p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时效性：access_token有效期为2小时，建议后端缓存令牌，过期前重新获取，避免频繁调用授权接口。</w:t>
      </w:r>
    </w:p>
    <w:p>
      <w:pPr>
        <w:keepNext w:val="0"/>
        <w:keepLines w:val="0"/>
        <w:widowControl/>
        <w:jc w:val="left"/>
        <w:rPr>
          <w:rFonts w:hint="default" w:ascii="Arial" w:hAnsi="Arial" w:eastAsia="等线" w:cs="Arial"/>
          <w:sz w:val="22"/>
        </w:rPr>
      </w:pPr>
    </w:p>
    <w:p>
      <w:pPr>
        <w:spacing w:before="320" w:after="120" w:line="288" w:lineRule="auto"/>
        <w:jc w:val="left"/>
        <w:rPr>
          <w:rFonts w:hint="default" w:ascii="Arial" w:hAnsi="Arial" w:eastAsia="等线" w:cs="Arial"/>
          <w:b/>
          <w:sz w:val="32"/>
        </w:rPr>
      </w:pPr>
    </w:p>
    <w:sectPr>
      <w:headerReference r:id="rId3" w:type="default"/>
      <w:footerReference r:id="rId4" w:type="default"/>
      <w:pgSz w:w="13380" w:h="16905"/>
      <w:pgMar w:top="720" w:right="720" w:bottom="720" w:left="720" w:header="638" w:footer="69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72183CF9"/>
    <w:multiLevelType w:val="singleLevel"/>
    <w:tmpl w:val="72183CF9"/>
    <w:lvl w:ilvl="0" w:tentative="0">
      <w:start w:val="0"/>
      <w:numFmt w:val="bullet"/>
      <w:lvlText w:val="●"/>
      <w:lvlJc w:val="left"/>
      <w:pPr>
        <w:ind w:left="4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7338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8">
    <w:name w:val="Default Paragraph Font"/>
    <w:qFormat/>
    <w:uiPriority w:val="0"/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paragraph" w:styleId="5">
    <w:name w:val="Normal (Web)"/>
    <w:basedOn w:val="1"/>
    <w:uiPriority w:val="0"/>
    <w:pPr>
      <w:spacing w:before="0" w:after="0" w:afterAutospacing="1"/>
      <w:jc w:val="left"/>
    </w:pPr>
    <w:rPr>
      <w:kern w:val="0"/>
      <w:sz w:val="24"/>
    </w:rPr>
  </w:style>
  <w:style w:type="table" w:styleId="7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Office_11.8.6.9023_F1E327BC-269C-435d-A152-05C5408002CA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ericm</cp:lastModifiedBy>
  <dcterms:modified xsi:type="dcterms:W3CDTF">2025-12-02T07:58:51Z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