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84B7" w14:textId="77777777" w:rsidR="006059A6" w:rsidRPr="00277E5F" w:rsidRDefault="006059A6" w:rsidP="006059A6">
      <w:pPr>
        <w:rPr>
          <w:rFonts w:ascii="Arial" w:hAnsi="Arial" w:cs="Arial"/>
          <w:sz w:val="22"/>
          <w:szCs w:val="22"/>
          <w:lang w:val="en-CA"/>
        </w:rPr>
      </w:pPr>
      <w:r w:rsidRPr="00277E5F">
        <w:rPr>
          <w:rFonts w:ascii="Arial" w:eastAsia="Calibri" w:hAnsi="Arial" w:cs="Arial"/>
          <w:sz w:val="22"/>
          <w:szCs w:val="22"/>
          <w:lang w:val="en-CA"/>
        </w:rPr>
        <w:t>Proposal</w:t>
      </w:r>
      <w:r w:rsidRPr="00277E5F">
        <w:rPr>
          <w:rFonts w:ascii="Arial" w:hAnsi="Arial" w:cs="Arial"/>
          <w:sz w:val="22"/>
          <w:szCs w:val="22"/>
          <w:lang w:val="en-CA"/>
        </w:rPr>
        <w:t xml:space="preserve"> 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>for</w:t>
      </w:r>
      <w:r w:rsidRPr="00277E5F">
        <w:rPr>
          <w:rFonts w:ascii="Arial" w:hAnsi="Arial" w:cs="Arial"/>
          <w:sz w:val="22"/>
          <w:szCs w:val="22"/>
          <w:lang w:val="en-CA"/>
        </w:rPr>
        <w:t xml:space="preserve"> 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>TCT abstracts – Deadline May 29, 2018</w:t>
      </w:r>
    </w:p>
    <w:p w14:paraId="57605930" w14:textId="77777777" w:rsidR="006059A6" w:rsidRPr="00277E5F" w:rsidRDefault="006059A6" w:rsidP="006059A6">
      <w:pPr>
        <w:rPr>
          <w:rFonts w:ascii="Arial" w:hAnsi="Arial" w:cs="Arial"/>
          <w:sz w:val="22"/>
          <w:szCs w:val="22"/>
          <w:lang w:val="en-CA"/>
        </w:rPr>
      </w:pPr>
    </w:p>
    <w:p w14:paraId="264A782E" w14:textId="77777777" w:rsidR="006059A6" w:rsidRPr="00277E5F" w:rsidRDefault="006059A6" w:rsidP="006059A6">
      <w:pPr>
        <w:rPr>
          <w:rFonts w:ascii="Arial" w:hAnsi="Arial" w:cs="Arial"/>
          <w:b/>
          <w:sz w:val="22"/>
          <w:szCs w:val="22"/>
          <w:lang w:val="en-CA"/>
        </w:rPr>
      </w:pPr>
      <w:r w:rsidRPr="00277E5F">
        <w:rPr>
          <w:rFonts w:ascii="Arial" w:eastAsia="Calibri" w:hAnsi="Arial" w:cs="Arial"/>
          <w:b/>
          <w:sz w:val="22"/>
          <w:szCs w:val="22"/>
          <w:lang w:val="en-CA"/>
        </w:rPr>
        <w:t>Temporal trends in the use of oral anticoagulant among patients with atrial fibrillation undergoing PCI:</w:t>
      </w:r>
    </w:p>
    <w:p w14:paraId="11F14C37" w14:textId="77777777" w:rsidR="006059A6" w:rsidRPr="00277E5F" w:rsidRDefault="006059A6" w:rsidP="006059A6">
      <w:pPr>
        <w:rPr>
          <w:rFonts w:ascii="Arial" w:hAnsi="Arial" w:cs="Arial"/>
          <w:sz w:val="22"/>
          <w:szCs w:val="22"/>
          <w:lang w:val="en-CA"/>
        </w:rPr>
      </w:pPr>
    </w:p>
    <w:p w14:paraId="710582BD" w14:textId="3059FCA0" w:rsidR="006059A6" w:rsidRPr="00277E5F" w:rsidRDefault="006059A6" w:rsidP="006059A6">
      <w:pPr>
        <w:rPr>
          <w:rFonts w:ascii="Arial" w:eastAsia="Calibri" w:hAnsi="Arial" w:cs="Arial"/>
          <w:sz w:val="22"/>
          <w:szCs w:val="22"/>
          <w:lang w:val="en-CA"/>
        </w:rPr>
      </w:pPr>
      <w:r w:rsidRPr="00277E5F">
        <w:rPr>
          <w:rFonts w:ascii="Arial" w:eastAsia="Calibri" w:hAnsi="Arial" w:cs="Arial"/>
          <w:b/>
          <w:sz w:val="22"/>
          <w:szCs w:val="22"/>
          <w:lang w:val="en-CA"/>
        </w:rPr>
        <w:t>Background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 xml:space="preserve">: Oral anticoagulation </w:t>
      </w:r>
      <w:bookmarkStart w:id="0" w:name="_GoBack"/>
      <w:bookmarkEnd w:id="0"/>
      <w:r w:rsidRPr="00277E5F">
        <w:rPr>
          <w:rFonts w:ascii="Arial" w:eastAsia="Calibri" w:hAnsi="Arial" w:cs="Arial"/>
          <w:sz w:val="22"/>
          <w:szCs w:val="22"/>
          <w:lang w:val="en-CA"/>
        </w:rPr>
        <w:t>(OAC) is under</w:t>
      </w:r>
      <w:r w:rsidR="00244145">
        <w:rPr>
          <w:rFonts w:ascii="Arial" w:eastAsia="Calibri" w:hAnsi="Arial" w:cs="Arial"/>
          <w:sz w:val="22"/>
          <w:szCs w:val="22"/>
          <w:lang w:val="en-CA"/>
        </w:rPr>
        <w:t xml:space="preserve"> 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>prescribed in patients with atrial fibrillation (AF). Following PCI, AF patients require antithrombotic therapy for prevention of both stent thrombosis which is a rare event as well as stroke which is more common.</w:t>
      </w:r>
    </w:p>
    <w:p w14:paraId="7B7585AB" w14:textId="77777777" w:rsidR="006059A6" w:rsidRPr="00277E5F" w:rsidRDefault="006059A6" w:rsidP="006059A6">
      <w:pPr>
        <w:rPr>
          <w:rFonts w:ascii="Arial" w:eastAsia="Calibri" w:hAnsi="Arial" w:cs="Arial"/>
          <w:sz w:val="22"/>
          <w:szCs w:val="22"/>
          <w:lang w:val="en-CA"/>
        </w:rPr>
      </w:pPr>
    </w:p>
    <w:p w14:paraId="6695D872" w14:textId="3702994E" w:rsidR="006059A6" w:rsidRPr="00277E5F" w:rsidRDefault="006059A6" w:rsidP="006059A6">
      <w:pPr>
        <w:rPr>
          <w:rFonts w:ascii="Arial" w:eastAsia="Calibri" w:hAnsi="Arial" w:cs="Arial"/>
          <w:sz w:val="22"/>
          <w:szCs w:val="22"/>
          <w:lang w:val="en-CA"/>
        </w:rPr>
      </w:pPr>
      <w:r w:rsidRPr="00277E5F">
        <w:rPr>
          <w:rFonts w:ascii="Arial" w:eastAsia="Calibri" w:hAnsi="Arial" w:cs="Arial"/>
          <w:b/>
          <w:sz w:val="22"/>
          <w:szCs w:val="22"/>
          <w:lang w:val="en-CA"/>
        </w:rPr>
        <w:t>Objective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 xml:space="preserve">: We sought to determine the usage of OAC in AF PCI patients from the Australian GCOR national registry over </w:t>
      </w:r>
      <w:r w:rsidR="00C55A36">
        <w:rPr>
          <w:rFonts w:ascii="Arial" w:eastAsia="Calibri" w:hAnsi="Arial" w:cs="Arial"/>
          <w:sz w:val="22"/>
          <w:szCs w:val="22"/>
          <w:lang w:val="en-CA"/>
        </w:rPr>
        <w:t xml:space="preserve">a 5 </w:t>
      </w:r>
      <w:proofErr w:type="spellStart"/>
      <w:r w:rsidR="00C55A36">
        <w:rPr>
          <w:rFonts w:ascii="Arial" w:eastAsia="Calibri" w:hAnsi="Arial" w:cs="Arial"/>
          <w:sz w:val="22"/>
          <w:szCs w:val="22"/>
          <w:lang w:val="en-CA"/>
        </w:rPr>
        <w:t>yr</w:t>
      </w:r>
      <w:proofErr w:type="spellEnd"/>
      <w:r w:rsidRPr="00277E5F">
        <w:rPr>
          <w:rFonts w:ascii="Arial" w:eastAsia="Calibri" w:hAnsi="Arial" w:cs="Arial"/>
          <w:sz w:val="22"/>
          <w:szCs w:val="22"/>
          <w:lang w:val="en-CA"/>
        </w:rPr>
        <w:t xml:space="preserve"> study </w:t>
      </w:r>
      <w:r w:rsidRPr="00C55A36">
        <w:rPr>
          <w:rFonts w:ascii="Arial" w:eastAsia="Calibri" w:hAnsi="Arial" w:cs="Arial"/>
          <w:sz w:val="22"/>
          <w:szCs w:val="22"/>
          <w:lang w:val="en-CA"/>
        </w:rPr>
        <w:t xml:space="preserve">period </w:t>
      </w:r>
      <w:r w:rsidR="00C55A36" w:rsidRPr="00C55A36">
        <w:rPr>
          <w:rFonts w:ascii="Arial" w:eastAsia="Calibri" w:hAnsi="Arial" w:cs="Arial"/>
          <w:sz w:val="22"/>
          <w:szCs w:val="22"/>
          <w:lang w:val="en-CA"/>
        </w:rPr>
        <w:t>from 2013 – 2017.</w:t>
      </w:r>
    </w:p>
    <w:p w14:paraId="1D9D79D6" w14:textId="77777777" w:rsidR="006059A6" w:rsidRPr="00277E5F" w:rsidRDefault="006059A6" w:rsidP="006059A6">
      <w:pPr>
        <w:rPr>
          <w:rFonts w:ascii="Arial" w:eastAsia="Calibri" w:hAnsi="Arial" w:cs="Arial"/>
          <w:sz w:val="22"/>
          <w:szCs w:val="22"/>
          <w:lang w:val="en-CA"/>
        </w:rPr>
      </w:pPr>
    </w:p>
    <w:p w14:paraId="3D57DA36" w14:textId="7805DEF6" w:rsidR="006059A6" w:rsidRPr="00277E5F" w:rsidRDefault="006059A6" w:rsidP="006059A6">
      <w:pPr>
        <w:rPr>
          <w:rFonts w:ascii="Arial" w:hAnsi="Arial" w:cs="Arial"/>
          <w:sz w:val="22"/>
          <w:szCs w:val="22"/>
          <w:lang w:val="en-CA"/>
        </w:rPr>
      </w:pPr>
      <w:r w:rsidRPr="00277E5F">
        <w:rPr>
          <w:rFonts w:ascii="Arial" w:eastAsia="Calibri" w:hAnsi="Arial" w:cs="Arial"/>
          <w:b/>
          <w:sz w:val="22"/>
          <w:szCs w:val="22"/>
          <w:lang w:val="en-CA"/>
        </w:rPr>
        <w:t>Methods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 xml:space="preserve">: The GCOR registry includes consecutive patients undergoing PCI </w:t>
      </w:r>
      <w:r w:rsidRPr="00B6028F">
        <w:rPr>
          <w:rFonts w:ascii="Arial" w:eastAsia="Calibri" w:hAnsi="Arial" w:cs="Arial"/>
          <w:sz w:val="22"/>
          <w:szCs w:val="22"/>
          <w:lang w:val="en-CA"/>
        </w:rPr>
        <w:t xml:space="preserve">from </w:t>
      </w:r>
      <w:r w:rsidR="00B6028F" w:rsidRPr="00B6028F">
        <w:rPr>
          <w:rFonts w:ascii="Arial" w:eastAsia="Calibri" w:hAnsi="Arial" w:cs="Arial"/>
          <w:sz w:val="22"/>
          <w:szCs w:val="22"/>
          <w:lang w:val="en-CA"/>
        </w:rPr>
        <w:t xml:space="preserve">13 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>Australian PCI centers. Prospectively collected data are entered in the database by dedicated research staff</w:t>
      </w:r>
      <w:r w:rsidRPr="00B6028F">
        <w:rPr>
          <w:rFonts w:ascii="Arial" w:eastAsia="Calibri" w:hAnsi="Arial" w:cs="Arial"/>
          <w:sz w:val="22"/>
          <w:szCs w:val="22"/>
          <w:lang w:val="en-CA"/>
        </w:rPr>
        <w:t xml:space="preserve">. Follow up is conducted by telephone or in person at 30 days, </w:t>
      </w:r>
      <w:r w:rsidR="00B6028F" w:rsidRPr="00B6028F">
        <w:rPr>
          <w:rFonts w:ascii="Arial" w:eastAsia="Calibri" w:hAnsi="Arial" w:cs="Arial"/>
          <w:sz w:val="22"/>
          <w:szCs w:val="22"/>
          <w:lang w:val="en-CA"/>
        </w:rPr>
        <w:t xml:space="preserve">1, 2 3, and 5 years and 5% of patients at 10 years. </w:t>
      </w:r>
      <w:r w:rsidRPr="00B6028F">
        <w:rPr>
          <w:rFonts w:ascii="Arial" w:eastAsia="Calibri" w:hAnsi="Arial" w:cs="Arial"/>
          <w:sz w:val="22"/>
          <w:szCs w:val="22"/>
          <w:lang w:val="en-CA"/>
        </w:rPr>
        <w:t>We</w:t>
      </w:r>
      <w:r w:rsidRPr="00277E5F">
        <w:rPr>
          <w:rFonts w:ascii="Arial" w:eastAsia="Calibri" w:hAnsi="Arial" w:cs="Arial"/>
          <w:sz w:val="22"/>
          <w:szCs w:val="22"/>
          <w:lang w:val="en-CA"/>
        </w:rPr>
        <w:t xml:space="preserve"> assessed patient and procedural characteristics of treated patients, the frequency of OAC and non-vitamin K antagonists prescribed and 1-year clinical outcomes over time.</w:t>
      </w:r>
    </w:p>
    <w:p w14:paraId="6E5B30CA" w14:textId="77777777" w:rsidR="006059A6" w:rsidRPr="00277E5F" w:rsidRDefault="006059A6" w:rsidP="006059A6">
      <w:pPr>
        <w:rPr>
          <w:sz w:val="22"/>
          <w:szCs w:val="22"/>
        </w:rPr>
      </w:pPr>
    </w:p>
    <w:p w14:paraId="3B6BBA28" w14:textId="77777777" w:rsidR="006059A6" w:rsidRPr="00277E5F" w:rsidRDefault="006059A6" w:rsidP="006059A6">
      <w:pPr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b/>
          <w:sz w:val="22"/>
          <w:szCs w:val="22"/>
        </w:rPr>
        <w:t>Statistical analysis</w:t>
      </w:r>
      <w:r w:rsidRPr="00277E5F">
        <w:rPr>
          <w:rFonts w:ascii="Arial" w:hAnsi="Arial" w:cs="Arial"/>
          <w:sz w:val="22"/>
          <w:szCs w:val="22"/>
        </w:rPr>
        <w:t xml:space="preserve">: </w:t>
      </w:r>
    </w:p>
    <w:p w14:paraId="2ED16547" w14:textId="77777777" w:rsidR="006059A6" w:rsidRPr="00277E5F" w:rsidRDefault="006059A6" w:rsidP="006059A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sz w:val="22"/>
          <w:szCs w:val="22"/>
        </w:rPr>
        <w:t xml:space="preserve">N of </w:t>
      </w:r>
      <w:r>
        <w:rPr>
          <w:rFonts w:ascii="Arial" w:hAnsi="Arial" w:cs="Arial"/>
          <w:sz w:val="22"/>
          <w:szCs w:val="22"/>
        </w:rPr>
        <w:t xml:space="preserve">AF PCI </w:t>
      </w:r>
      <w:r w:rsidRPr="00277E5F">
        <w:rPr>
          <w:rFonts w:ascii="Arial" w:hAnsi="Arial" w:cs="Arial"/>
          <w:sz w:val="22"/>
          <w:szCs w:val="22"/>
        </w:rPr>
        <w:t>patients – what % of the overall registry do they comprise (5-7%?)</w:t>
      </w:r>
    </w:p>
    <w:p w14:paraId="322718FB" w14:textId="77777777" w:rsidR="006059A6" w:rsidRPr="00277E5F" w:rsidRDefault="006059A6" w:rsidP="006059A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sz w:val="22"/>
          <w:szCs w:val="22"/>
        </w:rPr>
        <w:t>Summary statistics for the overall AF-PCI cohort:</w:t>
      </w:r>
    </w:p>
    <w:p w14:paraId="20F613E7" w14:textId="77777777" w:rsidR="006059A6" w:rsidRPr="00277E5F" w:rsidRDefault="006059A6" w:rsidP="006059A6">
      <w:pPr>
        <w:pStyle w:val="ListParagraph"/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sz w:val="22"/>
          <w:szCs w:val="22"/>
        </w:rPr>
        <w:t>-Age, sex, medical history (DM, HTN, prior MI, prior PCI, prior CABG, PAD), procedural history (N of lesions treated, N of stents, % DES type, procedural access, procedural anticoagulation), discharge medications (ASA, P2Y12 inhibitor, oral anticoagulation – warfarin or non-vitamin K antagonists, statins, beta blockers, ACEI/ARB)</w:t>
      </w:r>
    </w:p>
    <w:p w14:paraId="1B6639AC" w14:textId="77777777" w:rsidR="006059A6" w:rsidRPr="00277E5F" w:rsidRDefault="006059A6" w:rsidP="006059A6">
      <w:pPr>
        <w:pStyle w:val="ListParagraph"/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sz w:val="22"/>
          <w:szCs w:val="22"/>
        </w:rPr>
        <w:t>-Derived variables – CHADS2, CHA2DS2VASC:</w:t>
      </w:r>
    </w:p>
    <w:p w14:paraId="3BBF2A2A" w14:textId="77777777" w:rsidR="006059A6" w:rsidRPr="00277E5F" w:rsidRDefault="006059A6" w:rsidP="006059A6">
      <w:pPr>
        <w:pStyle w:val="ListParagraph"/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sz w:val="22"/>
          <w:szCs w:val="22"/>
        </w:rPr>
        <w:t>-Over time – Discharge OAC</w:t>
      </w:r>
      <w:r>
        <w:rPr>
          <w:rFonts w:ascii="Arial" w:hAnsi="Arial" w:cs="Arial"/>
          <w:sz w:val="22"/>
          <w:szCs w:val="22"/>
        </w:rPr>
        <w:t xml:space="preserve"> (warfarin or NVKA),</w:t>
      </w:r>
      <w:r w:rsidRPr="00277E5F">
        <w:rPr>
          <w:rFonts w:ascii="Arial" w:hAnsi="Arial" w:cs="Arial"/>
          <w:sz w:val="22"/>
          <w:szCs w:val="22"/>
        </w:rPr>
        <w:t xml:space="preserve"> NVKA </w:t>
      </w:r>
      <w:r>
        <w:rPr>
          <w:rFonts w:ascii="Arial" w:hAnsi="Arial" w:cs="Arial"/>
          <w:sz w:val="22"/>
          <w:szCs w:val="22"/>
        </w:rPr>
        <w:t xml:space="preserve">(dabigatran, rivaroxaban, apixaban, </w:t>
      </w:r>
      <w:proofErr w:type="spellStart"/>
      <w:r>
        <w:rPr>
          <w:rFonts w:ascii="Arial" w:hAnsi="Arial" w:cs="Arial"/>
          <w:sz w:val="22"/>
          <w:szCs w:val="22"/>
        </w:rPr>
        <w:t>edoxaban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277E5F">
        <w:rPr>
          <w:rFonts w:ascii="Arial" w:hAnsi="Arial" w:cs="Arial"/>
          <w:sz w:val="22"/>
          <w:szCs w:val="22"/>
        </w:rPr>
        <w:t>use in each year of the study period</w:t>
      </w:r>
    </w:p>
    <w:p w14:paraId="2FC16D51" w14:textId="77777777" w:rsidR="006059A6" w:rsidRDefault="006059A6" w:rsidP="006059A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sz w:val="22"/>
          <w:szCs w:val="22"/>
        </w:rPr>
        <w:t xml:space="preserve">Outcomes – KM estimates of 1-year Death, stroke, MI overall (entire study period) and in each year of the study period (if rate of OAC used changed, was there an effect on hard endpoints). </w:t>
      </w:r>
      <w:proofErr w:type="gramStart"/>
      <w:r w:rsidRPr="00277E5F">
        <w:rPr>
          <w:rFonts w:ascii="Arial" w:hAnsi="Arial" w:cs="Arial"/>
          <w:sz w:val="22"/>
          <w:szCs w:val="22"/>
        </w:rPr>
        <w:t>Also</w:t>
      </w:r>
      <w:proofErr w:type="gramEnd"/>
      <w:r w:rsidRPr="00277E5F">
        <w:rPr>
          <w:rFonts w:ascii="Arial" w:hAnsi="Arial" w:cs="Arial"/>
          <w:sz w:val="22"/>
          <w:szCs w:val="22"/>
        </w:rPr>
        <w:t xml:space="preserve"> KM Estimates of stent thrombosis and TLR/TVR if available.</w:t>
      </w:r>
    </w:p>
    <w:p w14:paraId="2A8B9105" w14:textId="77777777" w:rsidR="006059A6" w:rsidRDefault="006059A6" w:rsidP="006059A6">
      <w:pPr>
        <w:rPr>
          <w:rFonts w:ascii="Arial" w:hAnsi="Arial" w:cs="Arial"/>
          <w:sz w:val="22"/>
          <w:szCs w:val="22"/>
        </w:rPr>
      </w:pPr>
    </w:p>
    <w:p w14:paraId="4747496D" w14:textId="77777777" w:rsidR="006059A6" w:rsidRDefault="006059A6" w:rsidP="006059A6">
      <w:pPr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b/>
          <w:sz w:val="22"/>
          <w:szCs w:val="22"/>
        </w:rPr>
        <w:t>Appendix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14D8C7EC" w14:textId="77777777" w:rsidR="006059A6" w:rsidRDefault="006059A6" w:rsidP="006059A6">
      <w:pPr>
        <w:rPr>
          <w:rFonts w:ascii="Arial" w:hAnsi="Arial" w:cs="Arial"/>
          <w:sz w:val="22"/>
          <w:szCs w:val="22"/>
        </w:rPr>
      </w:pPr>
    </w:p>
    <w:p w14:paraId="5B7A5CBC" w14:textId="77777777" w:rsidR="006059A6" w:rsidRPr="00277E5F" w:rsidRDefault="006059A6" w:rsidP="006059A6">
      <w:pPr>
        <w:rPr>
          <w:rFonts w:ascii="Arial" w:hAnsi="Arial" w:cs="Arial"/>
          <w:sz w:val="22"/>
          <w:szCs w:val="22"/>
        </w:rPr>
      </w:pPr>
      <w:r w:rsidRPr="00277E5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79C425" wp14:editId="1866A798">
            <wp:extent cx="3002669" cy="2292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680" cy="22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463" w14:textId="77777777" w:rsidR="006059A6" w:rsidRPr="00277E5F" w:rsidRDefault="006059A6" w:rsidP="006059A6">
      <w:pPr>
        <w:rPr>
          <w:rFonts w:ascii="Arial" w:hAnsi="Arial" w:cs="Arial"/>
          <w:sz w:val="22"/>
          <w:szCs w:val="22"/>
        </w:rPr>
      </w:pPr>
    </w:p>
    <w:p w14:paraId="1870F5A9" w14:textId="00242DF1" w:rsidR="00F055BA" w:rsidRDefault="006059A6" w:rsidP="00CA6092">
      <w:pPr>
        <w:rPr>
          <w:sz w:val="22"/>
          <w:szCs w:val="22"/>
        </w:rPr>
      </w:pPr>
      <w:r w:rsidRPr="00277E5F">
        <w:rPr>
          <w:sz w:val="22"/>
          <w:szCs w:val="22"/>
        </w:rPr>
        <w:br w:type="page"/>
      </w:r>
    </w:p>
    <w:p w14:paraId="1C0AFBCA" w14:textId="7A8F9A41" w:rsidR="00F055BA" w:rsidRPr="009B3FAE" w:rsidRDefault="00F055BA" w:rsidP="00F055BA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lastRenderedPageBreak/>
        <w:t xml:space="preserve">Table 1. </w:t>
      </w:r>
      <w:r w:rsidR="002F70E1">
        <w:rPr>
          <w:sz w:val="22"/>
          <w:szCs w:val="22"/>
        </w:rPr>
        <w:t xml:space="preserve">Results </w:t>
      </w:r>
    </w:p>
    <w:p w14:paraId="6C6A29BB" w14:textId="46EE6610" w:rsidR="00F055BA" w:rsidRDefault="00F055BA" w:rsidP="00F055BA">
      <w:pPr>
        <w:pStyle w:val="Default"/>
        <w:rPr>
          <w:sz w:val="22"/>
          <w:szCs w:val="22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6276"/>
        <w:gridCol w:w="1675"/>
        <w:gridCol w:w="701"/>
        <w:gridCol w:w="739"/>
        <w:gridCol w:w="815"/>
        <w:gridCol w:w="703"/>
      </w:tblGrid>
      <w:tr w:rsidR="000C4AB9" w:rsidRPr="000C4AB9" w14:paraId="08DA6B17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BF7C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AF-PCI Cohort (Mar 2013 to Mar 2018)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D495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3E7A" w14:textId="77777777" w:rsidR="000C4AB9" w:rsidRPr="000C4AB9" w:rsidRDefault="000C4AB9" w:rsidP="000C4AB9">
            <w:pPr>
              <w:jc w:val="right"/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352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B427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FAF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0CA75C53" w14:textId="77777777" w:rsidTr="000C4AB9">
        <w:trPr>
          <w:trHeight w:val="326"/>
        </w:trPr>
        <w:tc>
          <w:tcPr>
            <w:tcW w:w="6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B0A4D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Parameter (field)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7079C" w14:textId="77777777" w:rsidR="000C4AB9" w:rsidRPr="000C4AB9" w:rsidRDefault="000C4AB9" w:rsidP="000C4A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Aggregate value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CB21" w14:textId="77777777" w:rsidR="000C4AB9" w:rsidRPr="000C4AB9" w:rsidRDefault="000C4AB9" w:rsidP="000C4A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9A9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5D88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EE5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3CC15AF3" w14:textId="77777777" w:rsidTr="000C4AB9">
        <w:trPr>
          <w:trHeight w:val="326"/>
        </w:trPr>
        <w:tc>
          <w:tcPr>
            <w:tcW w:w="6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8D9D45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0D9F" w14:textId="77777777" w:rsidR="000C4AB9" w:rsidRPr="000C4AB9" w:rsidRDefault="000C4AB9" w:rsidP="000C4A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0C4AB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mean</w:t>
            </w:r>
            <w:r w:rsidRPr="000C4AB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  <w:lang w:val="en-AU" w:eastAsia="en-AU"/>
              </w:rPr>
              <w:t>+</w:t>
            </w:r>
            <w:r w:rsidRPr="000C4AB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SD</w:t>
            </w:r>
            <w:proofErr w:type="spellEnd"/>
            <w:r w:rsidRPr="000C4AB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or n (%)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7763" w14:textId="77777777" w:rsidR="000C4AB9" w:rsidRPr="000C4AB9" w:rsidRDefault="000C4AB9" w:rsidP="000C4A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6A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754D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BA1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64A6259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CAFE82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AF patients who have had a PCI, n (%)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2A015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442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90E4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8884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1C6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39659B74" w14:textId="77777777" w:rsidTr="000C4AB9">
        <w:trPr>
          <w:trHeight w:val="335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EABB126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What % of the overall registry do they comprise?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7B6D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9DF1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AD0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F340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A5E2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38E3D204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098E81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Age, mean years </w:t>
            </w:r>
            <w:r w:rsidRPr="000C4AB9">
              <w:rPr>
                <w:rFonts w:ascii="Calibri" w:hAnsi="Calibri" w:cs="Calibri"/>
                <w:sz w:val="20"/>
                <w:szCs w:val="20"/>
                <w:u w:val="single"/>
                <w:lang w:val="en-AU" w:eastAsia="en-AU"/>
              </w:rPr>
              <w:t>+</w:t>
            </w: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(SD)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CAAC7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6BD0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C408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4CF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3BFB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79D74585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C862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Sex (male), n (%)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024C6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C394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E427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687C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3F5A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7A10264C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92F9C0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Medical history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840D18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4376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D583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0603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920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690A0AA1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2E10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Hypertension (HTN)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610C7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6A85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46B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E95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787C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05729143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BDAC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Previous MI,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3AA3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02C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537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1A7A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AC24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34C2E054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62F3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Diabetes,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D32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4973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B46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44A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C32F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FBDD663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4D2E7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Previous bypass surgery (CABG),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BC056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639C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0C4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08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9013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01F2684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D65142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s-ES" w:eastAsia="en-AU"/>
              </w:rPr>
            </w:pPr>
            <w:proofErr w:type="spellStart"/>
            <w:r w:rsidRPr="000C4AB9">
              <w:rPr>
                <w:rFonts w:ascii="Calibri" w:hAnsi="Calibri" w:cs="Calibri"/>
                <w:sz w:val="20"/>
                <w:szCs w:val="20"/>
                <w:lang w:val="es-ES" w:eastAsia="en-AU"/>
              </w:rPr>
              <w:t>Peripheral</w:t>
            </w:r>
            <w:proofErr w:type="spellEnd"/>
            <w:r w:rsidRPr="000C4AB9">
              <w:rPr>
                <w:rFonts w:ascii="Calibri" w:hAnsi="Calibri" w:cs="Calibri"/>
                <w:sz w:val="20"/>
                <w:szCs w:val="20"/>
                <w:lang w:val="es-ES" w:eastAsia="en-AU"/>
              </w:rPr>
              <w:t xml:space="preserve"> vascular </w:t>
            </w:r>
            <w:proofErr w:type="spellStart"/>
            <w:r w:rsidRPr="000C4AB9">
              <w:rPr>
                <w:rFonts w:ascii="Calibri" w:hAnsi="Calibri" w:cs="Calibri"/>
                <w:sz w:val="20"/>
                <w:szCs w:val="20"/>
                <w:lang w:val="es-ES" w:eastAsia="en-AU"/>
              </w:rPr>
              <w:t>disease</w:t>
            </w:r>
            <w:proofErr w:type="spellEnd"/>
            <w:r w:rsidRPr="000C4AB9">
              <w:rPr>
                <w:rFonts w:ascii="Calibri" w:hAnsi="Calibri" w:cs="Calibri"/>
                <w:sz w:val="20"/>
                <w:szCs w:val="20"/>
                <w:lang w:val="es-ES" w:eastAsia="en-AU"/>
              </w:rPr>
              <w:t xml:space="preserve"> (PVD),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s-ES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s-ES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F81AC8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4146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F35F" w14:textId="77777777" w:rsidR="000C4AB9" w:rsidRPr="000C4AB9" w:rsidRDefault="000C4AB9" w:rsidP="000C4AB9">
            <w:pPr>
              <w:rPr>
                <w:sz w:val="20"/>
                <w:szCs w:val="20"/>
                <w:lang w:val="es-ES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4E4A" w14:textId="77777777" w:rsidR="000C4AB9" w:rsidRPr="000C4AB9" w:rsidRDefault="000C4AB9" w:rsidP="000C4AB9">
            <w:pPr>
              <w:rPr>
                <w:sz w:val="20"/>
                <w:szCs w:val="20"/>
                <w:lang w:val="es-ES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515C" w14:textId="77777777" w:rsidR="000C4AB9" w:rsidRPr="000C4AB9" w:rsidRDefault="000C4AB9" w:rsidP="000C4AB9">
            <w:pPr>
              <w:rPr>
                <w:sz w:val="20"/>
                <w:szCs w:val="20"/>
                <w:lang w:val="es-ES" w:eastAsia="en-AU"/>
              </w:rPr>
            </w:pPr>
          </w:p>
        </w:tc>
      </w:tr>
      <w:tr w:rsidR="000C4AB9" w:rsidRPr="000C4AB9" w14:paraId="0433AE03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15659A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Cerebrovascular disease,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E7A201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F122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66FC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63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FCBD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5B8B3EAC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A76A47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Procedural history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A500A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F9B7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A78B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2C9B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F720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6D062BD8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0213B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No. of lesions treated </w:t>
            </w:r>
            <w:r w:rsidRPr="000C4AB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AU" w:eastAsia="en-AU"/>
              </w:rPr>
              <w:t>+</w:t>
            </w: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(SD)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7989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A7A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856F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C85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E34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4410C0B6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D0085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No. of stents </w:t>
            </w:r>
            <w:r w:rsidRPr="000C4AB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AU" w:eastAsia="en-AU"/>
              </w:rPr>
              <w:t>+</w:t>
            </w: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(SD)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99BC50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4CA2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E18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E46C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C2ED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B922E57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DCBF3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DES,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60E34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D46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5D6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D8F0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429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77A4716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87BC6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Percutaneous entry location (brachial, radial, femoral),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2F4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64A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3A87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4CA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CAA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0FA376BF" w14:textId="77777777" w:rsidTr="000C4AB9">
        <w:trPr>
          <w:trHeight w:val="643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DE40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Procedural anticoagulation (IIb/IIIa, bivalirudin,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clopidogrel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, prasugrel,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cangrelor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, ticagrelor),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%)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C0D20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03A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A57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FC1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8567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56F00545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0F24F4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Discharge medications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095486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4EC8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7A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A7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EF7A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E1AABB2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FBE9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Aspirin,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FD4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3CC8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74E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E79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304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2E983D5E" w14:textId="77777777" w:rsidTr="000C4AB9">
        <w:trPr>
          <w:trHeight w:val="643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9A354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P2Y12 inhibitor (IIb/IIIa,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clopidogrel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, prasugrel,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cangrelor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, ticagrelor,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BBB4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BD54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293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EE5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552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6367818E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6F938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Warfarin,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AA6A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92E0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8AA6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ABB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5CA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0C5FCFB5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0D57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NVKA (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dabigatran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rivaroxaban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apixaban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edoxaban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),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6738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19B3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B415" w14:textId="77777777" w:rsidR="000C4AB9" w:rsidRPr="000C4AB9" w:rsidRDefault="000C4AB9" w:rsidP="000C4AB9">
            <w:pPr>
              <w:rPr>
                <w:sz w:val="20"/>
                <w:szCs w:val="20"/>
                <w:lang w:val="es-ES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4B1D" w14:textId="77777777" w:rsidR="000C4AB9" w:rsidRPr="000C4AB9" w:rsidRDefault="000C4AB9" w:rsidP="000C4AB9">
            <w:pPr>
              <w:rPr>
                <w:sz w:val="20"/>
                <w:szCs w:val="20"/>
                <w:lang w:val="es-ES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8E4D" w14:textId="77777777" w:rsidR="000C4AB9" w:rsidRPr="000C4AB9" w:rsidRDefault="000C4AB9" w:rsidP="000C4AB9">
            <w:pPr>
              <w:rPr>
                <w:sz w:val="20"/>
                <w:szCs w:val="20"/>
                <w:lang w:val="es-ES" w:eastAsia="en-AU"/>
              </w:rPr>
            </w:pPr>
          </w:p>
        </w:tc>
      </w:tr>
      <w:tr w:rsidR="000C4AB9" w:rsidRPr="000C4AB9" w14:paraId="59C68685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FFAEA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Statins,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CAA2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8AB4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2422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1938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76B3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7786E613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37FD3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Beta-Blockers,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B7D85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362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348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3F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6EF7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18F9319B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59EC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ACEI/ARB,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75F51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8330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9D5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800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14D5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57AD1D10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2AF0D576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Each year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39D4A6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2013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99FDAC4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2014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49871C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2015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7520B07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2016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17DF1A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2017</w:t>
            </w:r>
          </w:p>
        </w:tc>
      </w:tr>
      <w:tr w:rsidR="000C4AB9" w:rsidRPr="000C4AB9" w14:paraId="1575EA97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40D6E4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Warfarin,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0B33A" w14:textId="77777777" w:rsidR="000C4AB9" w:rsidRPr="000C4AB9" w:rsidRDefault="000C4AB9" w:rsidP="000C4AB9">
            <w:pPr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8C66F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16EA9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F172C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8BB4A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</w:tr>
      <w:tr w:rsidR="000C4AB9" w:rsidRPr="000C4AB9" w14:paraId="7E09704C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B55B20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NVKA (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dabigatran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rivaroxaban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apixaban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,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edoxaban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 xml:space="preserve">),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5C446" w14:textId="77777777" w:rsidR="000C4AB9" w:rsidRPr="000C4AB9" w:rsidRDefault="000C4AB9" w:rsidP="000C4AB9">
            <w:pPr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s-ES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78F9D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D603C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s-ES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1D4B5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s-ES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07C8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s-ES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s-ES" w:eastAsia="en-AU"/>
              </w:rPr>
              <w:t> </w:t>
            </w:r>
          </w:p>
        </w:tc>
      </w:tr>
      <w:tr w:rsidR="000C4AB9" w:rsidRPr="000C4AB9" w14:paraId="0BD3D86F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4B262259" w14:textId="77777777" w:rsidR="000C4AB9" w:rsidRPr="000C4AB9" w:rsidRDefault="000C4AB9" w:rsidP="000C4AB9">
            <w:pPr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Outcomes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008B3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2013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E9C9D8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2014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FF14FE5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2015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792B14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2016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1A897CA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2017</w:t>
            </w:r>
          </w:p>
        </w:tc>
      </w:tr>
      <w:tr w:rsidR="000C4AB9" w:rsidRPr="000C4AB9" w14:paraId="3D6DA6EA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2C8B4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Deaths,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%) 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A8BF1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5B44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51AD1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298F7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34227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</w:tr>
      <w:tr w:rsidR="000C4AB9" w:rsidRPr="000C4AB9" w14:paraId="1ED9F8E0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A92332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CVA/stroke,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B7F3E2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D9DA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9553D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7E537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169F1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</w:tr>
      <w:tr w:rsidR="000C4AB9" w:rsidRPr="000C4AB9" w14:paraId="6B91300E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2D774D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MI in each year of study period,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469B38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D6971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2F36F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1CBEE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944CC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</w:tr>
      <w:tr w:rsidR="000C4AB9" w:rsidRPr="000C4AB9" w14:paraId="22EDC706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ED834B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Stent thrombosis,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D2B7FA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8C298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E13B8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72CCB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E555E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</w:tr>
      <w:tr w:rsidR="000C4AB9" w:rsidRPr="000C4AB9" w14:paraId="1F4B8E64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F8FCC9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lastRenderedPageBreak/>
              <w:t xml:space="preserve">If readmitted, Target lesion/vascular revascularisation,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06690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94D93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1D42C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578AD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2C6A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lang w:val="en-AU" w:eastAsia="en-AU"/>
              </w:rPr>
              <w:t> </w:t>
            </w:r>
          </w:p>
        </w:tc>
      </w:tr>
      <w:tr w:rsidR="000C4AB9" w:rsidRPr="000C4AB9" w14:paraId="05F8BB09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A2486D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MI overall (entire study period), </w:t>
            </w:r>
            <w:proofErr w:type="gram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15CFB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BCB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7FB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9FCA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0DF2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6E776CC3" w14:textId="77777777" w:rsidTr="000C4AB9">
        <w:trPr>
          <w:trHeight w:val="960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EBA3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 xml:space="preserve">If readmitted, has OAC changed since discharged? </w:t>
            </w:r>
            <w:proofErr w:type="spellStart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ie</w:t>
            </w:r>
            <w:proofErr w:type="spellEnd"/>
            <w:r w:rsidRPr="000C4AB9"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  <w:t>. answered No: patient is not currently taking or has not taken this medication within the last seven days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B9BDD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4A5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02BC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CE4B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17F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3F21EDB9" w14:textId="77777777" w:rsidTr="000C4AB9">
        <w:trPr>
          <w:trHeight w:val="369"/>
        </w:trPr>
        <w:tc>
          <w:tcPr>
            <w:tcW w:w="6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46A79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  <w:lang w:val="en-AU" w:eastAsia="en-AU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AB0E" w14:textId="77777777" w:rsidR="000C4AB9" w:rsidRPr="000C4AB9" w:rsidRDefault="000C4AB9" w:rsidP="000C4AB9">
            <w:pPr>
              <w:rPr>
                <w:rFonts w:ascii="Calibri" w:hAnsi="Calibri" w:cs="Calibr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FEBE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A3E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B4F3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8952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082BE076" w14:textId="77777777" w:rsidTr="000C4AB9">
        <w:trPr>
          <w:trHeight w:val="326"/>
        </w:trPr>
        <w:tc>
          <w:tcPr>
            <w:tcW w:w="6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9B15E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CHADS2,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630D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Jaya to complete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DC89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363C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53B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9A79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  <w:tr w:rsidR="000C4AB9" w:rsidRPr="000C4AB9" w14:paraId="750666D3" w14:textId="77777777" w:rsidTr="000C4AB9">
        <w:trPr>
          <w:trHeight w:val="326"/>
        </w:trPr>
        <w:tc>
          <w:tcPr>
            <w:tcW w:w="6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D3CE" w14:textId="77777777" w:rsidR="000C4AB9" w:rsidRPr="000C4AB9" w:rsidRDefault="000C4AB9" w:rsidP="000C4AB9">
            <w:pPr>
              <w:rPr>
                <w:rFonts w:ascii="Calibri" w:hAnsi="Calibri" w:cs="Calibri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 xml:space="preserve">CHAD2DS2VASC, </w:t>
            </w:r>
            <w:proofErr w:type="gramStart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n(</w:t>
            </w:r>
            <w:proofErr w:type="gramEnd"/>
            <w:r w:rsidRPr="000C4AB9">
              <w:rPr>
                <w:rFonts w:ascii="Calibri" w:hAnsi="Calibri" w:cs="Calibri"/>
                <w:sz w:val="20"/>
                <w:szCs w:val="20"/>
                <w:lang w:val="en-AU" w:eastAsia="en-AU"/>
              </w:rPr>
              <w:t>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03D81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  <w:r w:rsidRPr="000C4AB9"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  <w:t>Jaya to complete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7C7F" w14:textId="77777777" w:rsidR="000C4AB9" w:rsidRPr="000C4AB9" w:rsidRDefault="000C4AB9" w:rsidP="000C4AB9">
            <w:pPr>
              <w:jc w:val="right"/>
              <w:rPr>
                <w:rFonts w:ascii="Calibri" w:hAnsi="Calibri" w:cs="Calibri"/>
                <w:color w:val="0000FF"/>
                <w:sz w:val="20"/>
                <w:szCs w:val="20"/>
                <w:lang w:val="en-AU" w:eastAsia="en-A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C691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6584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5AD" w14:textId="77777777" w:rsidR="000C4AB9" w:rsidRPr="000C4AB9" w:rsidRDefault="000C4AB9" w:rsidP="000C4AB9">
            <w:pPr>
              <w:rPr>
                <w:sz w:val="20"/>
                <w:szCs w:val="20"/>
                <w:lang w:val="en-AU" w:eastAsia="en-AU"/>
              </w:rPr>
            </w:pPr>
          </w:p>
        </w:tc>
      </w:tr>
    </w:tbl>
    <w:tbl>
      <w:tblPr>
        <w:tblStyle w:val="TableGrid"/>
        <w:tblW w:w="8925" w:type="dxa"/>
        <w:tblLayout w:type="fixed"/>
        <w:tblLook w:val="01E0" w:firstRow="1" w:lastRow="1" w:firstColumn="1" w:lastColumn="1" w:noHBand="0" w:noVBand="0"/>
      </w:tblPr>
      <w:tblGrid>
        <w:gridCol w:w="6091"/>
        <w:gridCol w:w="1417"/>
        <w:gridCol w:w="1417"/>
      </w:tblGrid>
      <w:tr w:rsidR="000711BA" w:rsidRPr="009B3FAE" w14:paraId="60772B90" w14:textId="7F171F54" w:rsidTr="000711BA">
        <w:trPr>
          <w:trHeight w:hRule="exact" w:val="59"/>
        </w:trPr>
        <w:tc>
          <w:tcPr>
            <w:tcW w:w="6091" w:type="dxa"/>
          </w:tcPr>
          <w:p w14:paraId="08990FE9" w14:textId="77777777" w:rsidR="000711BA" w:rsidRPr="009B3FAE" w:rsidRDefault="000711BA" w:rsidP="0031690B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1417" w:type="dxa"/>
          </w:tcPr>
          <w:p w14:paraId="73040F05" w14:textId="77777777" w:rsidR="000711BA" w:rsidRPr="009B3FAE" w:rsidRDefault="000711BA" w:rsidP="001F2F94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519CC02" w14:textId="77777777" w:rsidR="000711BA" w:rsidRPr="009B3FAE" w:rsidRDefault="000711BA" w:rsidP="001F2F94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</w:tbl>
    <w:p w14:paraId="6E505D86" w14:textId="77777777" w:rsidR="004B7678" w:rsidRDefault="004B7678" w:rsidP="000C4AB9">
      <w:pPr>
        <w:ind w:left="-709"/>
      </w:pPr>
    </w:p>
    <w:sectPr w:rsidR="004B7678" w:rsidSect="000C4AB9">
      <w:pgSz w:w="11906" w:h="16838"/>
      <w:pgMar w:top="1440" w:right="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BFD"/>
    <w:multiLevelType w:val="hybridMultilevel"/>
    <w:tmpl w:val="42FAF162"/>
    <w:lvl w:ilvl="0" w:tplc="2DE40DBC">
      <w:start w:val="1"/>
      <w:numFmt w:val="lowerRoman"/>
      <w:lvlText w:val="%1."/>
      <w:lvlJc w:val="left"/>
      <w:pPr>
        <w:ind w:left="1188" w:hanging="720"/>
      </w:pPr>
      <w:rPr>
        <w:rFonts w:ascii="Arial" w:hAnsi="Arial" w:cs="Arial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2325758F"/>
    <w:multiLevelType w:val="hybridMultilevel"/>
    <w:tmpl w:val="D9ECD8B2"/>
    <w:lvl w:ilvl="0" w:tplc="6BA617F8">
      <w:start w:val="1"/>
      <w:numFmt w:val="lowerRoman"/>
      <w:lvlText w:val="%1.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29EA1F38"/>
    <w:multiLevelType w:val="hybridMultilevel"/>
    <w:tmpl w:val="BD10C0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051AB"/>
    <w:multiLevelType w:val="hybridMultilevel"/>
    <w:tmpl w:val="4E36F8DE"/>
    <w:lvl w:ilvl="0" w:tplc="E0ACEB6C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="Arial"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B8D6D72"/>
    <w:multiLevelType w:val="hybridMultilevel"/>
    <w:tmpl w:val="BD10C0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8687A"/>
    <w:multiLevelType w:val="hybridMultilevel"/>
    <w:tmpl w:val="BD10C0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D4729"/>
    <w:multiLevelType w:val="hybridMultilevel"/>
    <w:tmpl w:val="BD10C0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BA"/>
    <w:rsid w:val="0003653B"/>
    <w:rsid w:val="000711BA"/>
    <w:rsid w:val="00093F55"/>
    <w:rsid w:val="000C4AB9"/>
    <w:rsid w:val="001836B7"/>
    <w:rsid w:val="00244145"/>
    <w:rsid w:val="002F70E1"/>
    <w:rsid w:val="0031690B"/>
    <w:rsid w:val="004603CF"/>
    <w:rsid w:val="004B7678"/>
    <w:rsid w:val="006059A6"/>
    <w:rsid w:val="0069639A"/>
    <w:rsid w:val="00714F90"/>
    <w:rsid w:val="00955D68"/>
    <w:rsid w:val="00B6028F"/>
    <w:rsid w:val="00C55A36"/>
    <w:rsid w:val="00CA6092"/>
    <w:rsid w:val="00E208D5"/>
    <w:rsid w:val="00E663B7"/>
    <w:rsid w:val="00E9436F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51D1"/>
  <w15:chartTrackingRefBased/>
  <w15:docId w15:val="{AA8281C3-B928-40FA-8BE2-EC56FE66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5B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F055B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055BA"/>
    <w:pPr>
      <w:jc w:val="center"/>
    </w:pPr>
    <w:rPr>
      <w:sz w:val="36"/>
    </w:rPr>
  </w:style>
  <w:style w:type="character" w:customStyle="1" w:styleId="BodyTextChar">
    <w:name w:val="Body Text Char"/>
    <w:basedOn w:val="DefaultParagraphFont"/>
    <w:link w:val="BodyText"/>
    <w:rsid w:val="00F055BA"/>
    <w:rPr>
      <w:rFonts w:ascii="Times New Roman" w:eastAsia="Times New Roman" w:hAnsi="Times New Roman" w:cs="Times New Roman"/>
      <w:sz w:val="36"/>
      <w:szCs w:val="24"/>
      <w:lang w:val="en-US"/>
    </w:rPr>
  </w:style>
  <w:style w:type="character" w:customStyle="1" w:styleId="highlight2">
    <w:name w:val="highlight2"/>
    <w:basedOn w:val="DefaultParagraphFont"/>
    <w:rsid w:val="00F055BA"/>
  </w:style>
  <w:style w:type="paragraph" w:styleId="ListParagraph">
    <w:name w:val="List Paragraph"/>
    <w:basedOn w:val="Normal"/>
    <w:uiPriority w:val="34"/>
    <w:qFormat/>
    <w:rsid w:val="0069639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McColl</dc:creator>
  <cp:keywords/>
  <dc:description/>
  <cp:lastModifiedBy>Sonya McColl</cp:lastModifiedBy>
  <cp:revision>3</cp:revision>
  <dcterms:created xsi:type="dcterms:W3CDTF">2018-05-22T04:47:00Z</dcterms:created>
  <dcterms:modified xsi:type="dcterms:W3CDTF">2018-05-22T04:48:00Z</dcterms:modified>
</cp:coreProperties>
</file>