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92aeb9d5c096b6040c8de15fdd1dd05a880f660"/>
    <w:p>
      <w:pPr>
        <w:pStyle w:val="Heading1"/>
        <w:spacing w:line="360" w:lineRule="auto" w:before="24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 xml:space="preserve">Глава 1. Физическая постановка задачи мультипольного анализа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В §§ 1.1–1.3 в качестве объекта анализа рассматривается полностью известное комплексное поле: восстановление мультипольных коэффициентов из такого поля сводится к одному линейному оператору проекции и обратимо точно. В § 1.4 фиксируется практическое ограничение: измеряется только мощностная диаграмма, фаза комплексного поля недоступна. В § 1.5 формализуется обратная задача и вводится прямой оператор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rPr>
            <m:scr m:val="script"/>
            <m:sty m:val="p"/>
          </m:rPr>
          <m:t>A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, в § 1.6 описывается коллапс информации при переходе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E</m:t>
        </m:r>
        <m:r>
          <m:rPr>
            <m:sty m:val="p"/>
          </m:rPr>
          <m:t>→</m:t>
        </m:r>
        <m:r>
          <m:t>P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, в § 1.7 устанавливается строгая неоднозначность задачи в смысле Адамара, в § 1.8 обосновывается переход к машинно-обученному регуляризатору.</w:t>
      </w:r>
    </w:p>
    <w:bookmarkStart w:id="9" w:name="X434795d6261457063bbc7061605896b3347299c"/>
    <w:p>
      <w:pPr>
        <w:pStyle w:val="Heading2"/>
        <w:spacing w:line="360" w:lineRule="auto" w:before="24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 xml:space="preserve">1.1. Мультипольное разложение в электромагнетизме: векторные сферические гармоники и коэффициенты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Монохроматическое электромагнитное поле в свободном от источников пространстве вне наименьшей сферы, охватывающей источники, единственным образом раскладывается по векторным сферическим гармоникам (VSH) [1, гл. 9]. Угловая зависимость излучённого электрического поля распадается на два ортогональных семейства мод — электрическое (поперечно-магнитное, TM) и магнитное (поперечно-электрическое, TE):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r>
            <m:rPr>
              <m:sty m:val="bi"/>
            </m:rPr>
            <m:t>E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,</m:t>
          </m:r>
          <m:r>
            <m:t>φ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l</m:t>
                  </m:r>
                </m:sub>
                <m:sup>
                  <m:r>
                    <m:t>l</m:t>
                  </m:r>
                </m: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 </m:t>
                      </m:r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l</m:t>
                          </m:r>
                          <m:r>
                            <m:t>m</m:t>
                          </m:r>
                        </m:sub>
                        <m:sup>
                          <m:r>
                            <m:t>E</m:t>
                          </m:r>
                        </m:sup>
                      </m:sSubSup>
                      <m:r>
                        <m:t> </m:t>
                      </m:r>
                      <m:sSubSup>
                        <m:e>
                          <m:r>
                            <m:rPr>
                              <m:sty m:val="b"/>
                            </m:rPr>
                            <m:t>Ψ</m:t>
                          </m:r>
                        </m:e>
                        <m:sub>
                          <m:r>
                            <m:t>l</m:t>
                          </m:r>
                          <m:r>
                            <m:t>m</m:t>
                          </m:r>
                        </m:sub>
                        <m:sup>
                          <m:r>
                            <m:t>E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φ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 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 </m:t>
                      </m:r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l</m:t>
                          </m:r>
                          <m:r>
                            <m:t>m</m:t>
                          </m:r>
                        </m:sub>
                        <m:sup>
                          <m:r>
                            <m:t>M</m:t>
                          </m:r>
                        </m:sup>
                      </m:sSubSup>
                      <m:r>
                        <m:t> </m:t>
                      </m:r>
                      <m:sSubSup>
                        <m:e>
                          <m:r>
                            <m:rPr>
                              <m:sty m:val="b"/>
                            </m:rPr>
                            <m:t>Ψ</m:t>
                          </m:r>
                        </m:e>
                        <m:sub>
                          <m:r>
                            <m:t>l</m:t>
                          </m:r>
                          <m:r>
                            <m:t>m</m:t>
                          </m:r>
                        </m:sub>
                        <m:sup>
                          <m:r>
                            <m:t>M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φ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</m:e>
                  </m:d>
                </m:e>
              </m:nary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где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sSubSup>
          <m:e>
            <m:r>
              <m:rPr>
                <m:sty m:val="b"/>
              </m:rPr>
              <m:t>Ψ</m:t>
            </m:r>
          </m:e>
          <m:sub>
            <m:r>
              <m:t>l</m:t>
            </m:r>
            <m:r>
              <m:t>m</m:t>
            </m:r>
          </m:sub>
          <m:sup>
            <m:r>
              <m:t>E</m:t>
            </m:r>
          </m:sup>
        </m:sSubSup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и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sSubSup>
          <m:e>
            <m:r>
              <m:rPr>
                <m:sty m:val="b"/>
              </m:rPr>
              <m:t>Ψ</m:t>
            </m:r>
          </m:e>
          <m:sub>
            <m:r>
              <m:t>l</m:t>
            </m:r>
            <m:r>
              <m:t>m</m:t>
            </m:r>
          </m:sub>
          <m:sup>
            <m:r>
              <m:t>M</m:t>
            </m:r>
          </m:sup>
        </m:sSubSup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— векторнозначные угловые мод-функции, построенные из скалярных сферических гармоник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sSub>
          <m:e>
            <m:r>
              <m:t>Y</m:t>
            </m:r>
          </m:e>
          <m:sub>
            <m:r>
              <m:t>l</m:t>
            </m:r>
            <m:r>
              <m:t>m</m:t>
            </m:r>
          </m:sub>
        </m:sSub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, а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sSubSup>
          <m:e>
            <m:r>
              <m:t>a</m:t>
            </m:r>
          </m:e>
          <m:sub>
            <m:r>
              <m:t>l</m:t>
            </m:r>
            <m:r>
              <m:t>m</m:t>
            </m:r>
          </m:sub>
          <m:sup>
            <m:r>
              <m:t>E</m:t>
            </m:r>
          </m:sup>
        </m:sSubSup>
        <m:r>
          <m:rPr>
            <m:sty m:val="p"/>
          </m:rPr>
          <m:t>,</m:t>
        </m:r>
        <m:sSubSup>
          <m:e>
            <m:r>
              <m:t>a</m:t>
            </m:r>
          </m:e>
          <m:sub>
            <m:r>
              <m:t>l</m:t>
            </m:r>
            <m:r>
              <m:t>m</m:t>
            </m:r>
          </m:sub>
          <m:sup>
            <m:r>
              <m:t>M</m:t>
            </m:r>
          </m:sup>
        </m:sSubSup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— мультипольные коэффициенты, дающие каноническое компактное представление излучателя. Базис обладает свойствами полноты (всякое квадратично-интегрируемое тангенциальное поле на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восстанавливается с произвольной точностью) и ортогональности (моды с различными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ортогональны под скалярным произведением § 1.3). Здесь и далее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sSubSup>
          <m:e>
            <m:r>
              <m:rPr>
                <m:sty m:val="b"/>
              </m:rPr>
              <m:t>Ψ</m:t>
            </m:r>
          </m:e>
          <m:sub>
            <m:r>
              <m:t>l</m:t>
            </m:r>
            <m:r>
              <m:t>m</m:t>
            </m:r>
          </m:sub>
          <m:sup>
            <m:r>
              <m:t>X</m:t>
            </m:r>
          </m:sup>
        </m:sSubSup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нормированы на единицу в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под весом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rPr>
            <m:sty m:val="p"/>
          </m:rPr>
          <m:t>sin</m:t>
        </m:r>
        <m:r>
          <m:t>θ</m:t>
        </m:r>
        <m:r>
          <m:t> </m:t>
        </m:r>
        <m:r>
          <m:rPr>
            <m:sty m:val="p"/>
          </m:rPr>
          <m:t>d</m:t>
        </m:r>
        <m:r>
          <m:t>θ</m:t>
        </m:r>
        <m:r>
          <m:t> </m:t>
        </m:r>
        <m:r>
          <m:rPr>
            <m:sty m:val="p"/>
          </m:rPr>
          <m:t>d</m:t>
        </m:r>
        <m:r>
          <m:t>φ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, то есть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rPr>
            <m:sty m:val="p"/>
          </m:rPr>
          <m:t>⟨</m:t>
        </m:r>
        <m:sSubSup>
          <m:e>
            <m:r>
              <m:rPr>
                <m:sty m:val="b"/>
              </m:rPr>
              <m:t>Ψ</m:t>
            </m:r>
          </m:e>
          <m:sub>
            <m:r>
              <m:t>l</m:t>
            </m:r>
            <m:r>
              <m:t>m</m:t>
            </m:r>
          </m:sub>
          <m:sup>
            <m:r>
              <m:t>X</m:t>
            </m:r>
          </m:sup>
        </m:sSubSup>
        <m:r>
          <m:rPr>
            <m:sty m:val="p"/>
          </m:rPr>
          <m:t>,</m:t>
        </m:r>
        <m:sSubSup>
          <m:e>
            <m:r>
              <m:rPr>
                <m:sty m:val="b"/>
              </m:rPr>
              <m:t>Ψ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  <m:sup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bSup>
        <m:sSub>
          <m:e>
            <m:r>
              <m:rPr>
                <m:sty m:val="p"/>
              </m:rPr>
              <m:t>⟩</m:t>
            </m:r>
          </m:e>
          <m:sub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X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t> </m:t>
        </m:r>
        <m:sSub>
          <m:e>
            <m:r>
              <m:t>δ</m:t>
            </m:r>
          </m:e>
          <m:sub>
            <m:r>
              <m:t>l</m:t>
            </m:r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t> </m:t>
        </m:r>
        <m:sSub>
          <m:e>
            <m:r>
              <m:t>δ</m:t>
            </m:r>
          </m:e>
          <m:sub>
            <m:r>
              <m:t>m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при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X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t>E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(явная форма скалярного произведения дана в § 1.3).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В работе разложение усекается на порядке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. Для каждого семейства число пар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равно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35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; комплексной паре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l</m:t>
            </m:r>
            <m:r>
              <m:t>m</m:t>
            </m:r>
          </m:sub>
          <m:sup>
            <m:r>
              <m:t>E</m:t>
            </m:r>
          </m:sup>
        </m:sSubSup>
        <m:r>
          <m:rPr>
            <m:sty m:val="p"/>
          </m:rPr>
          <m:t>,</m:t>
        </m:r>
        <m:sSubSup>
          <m:e>
            <m:r>
              <m:t>a</m:t>
            </m:r>
          </m:e>
          <m:sub>
            <m:r>
              <m:t>l</m:t>
            </m:r>
            <m:r>
              <m:t>m</m:t>
            </m:r>
          </m:sub>
          <m:sup>
            <m:r>
              <m:t>M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соответствуют четыре вещественных числа на пару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. Упакованный вещественный вектор коэффициентов имеет длину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4</m:t>
        </m:r>
        <m:r>
          <m:t>K</m:t>
        </m:r>
        <m:r>
          <m:rPr>
            <m:sty m:val="p"/>
          </m:rPr>
          <m:t>=</m:t>
        </m:r>
        <m:r>
          <m:t>140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и порядок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t> </m:t>
        </m:r>
        <m:sSup>
          <m:e>
            <m:r>
              <m:t>a</m:t>
            </m:r>
          </m:e>
          <m:sup>
            <m:r>
              <m:t>E</m:t>
            </m:r>
          </m:sup>
        </m:sSup>
        <m:r>
          <m:rPr>
            <m:sty m:val="p"/>
          </m:rPr>
          <m:t>,</m:t>
        </m:r>
        <m:r>
          <m:t> </m:t>
        </m:r>
        <m:r>
          <m:rPr>
            <m:sty m:val="p"/>
          </m:rPr>
          <m:t>I</m:t>
        </m:r>
        <m:r>
          <m:rPr>
            <m:sty m:val="p"/>
          </m:rPr>
          <m:t>m</m:t>
        </m:r>
        <m:r>
          <m:t> </m:t>
        </m:r>
        <m:sSup>
          <m:e>
            <m:r>
              <m:t>a</m:t>
            </m:r>
          </m:e>
          <m:sup>
            <m:r>
              <m:t>E</m:t>
            </m:r>
          </m:sup>
        </m:sSup>
        <m:r>
          <m:rPr>
            <m:sty m:val="p"/>
          </m:rPr>
          <m:t>,</m:t>
        </m:r>
        <m:r>
          <m:t> 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t> </m:t>
        </m:r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,</m:t>
        </m:r>
        <m:r>
          <m:t> </m:t>
        </m:r>
        <m:r>
          <m:rPr>
            <m:sty m:val="p"/>
          </m:rPr>
          <m:t>I</m:t>
        </m:r>
        <m:r>
          <m:rPr>
            <m:sty m:val="p"/>
          </m:rPr>
          <m:t>m</m:t>
        </m:r>
        <m:r>
          <m:t> </m:t>
        </m:r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. Эта конвенция фиксируется здесь и используется без изменений начиная с Главы 2. Низкие порядки (</w:t>
      </w:r>
      <m:oMath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) описывают широкие диаграммы дипольного и квадрупольного типа, более высокие — мелкомасштабную угловую структуру.</w:t>
      </w:r>
    </w:p>
    <w:bookmarkEnd w:id="9"/>
    <w:bookmarkStart w:id="10" w:name="Xb543e472e03d40df96f56e9778c6eac7aba9b8e"/>
    <w:p>
      <w:pPr>
        <w:pStyle w:val="Heading2"/>
        <w:spacing w:line="360" w:lineRule="auto" w:before="24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 xml:space="preserve">1.2. Диаграмма направленности как объект анализа: комплексное поле на сферической сетке 360 × 179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В дальней зоне излучения радиальная компонента поля обращается в нуль, и поле задаётся двумя комплексными тангенциальными скалярами: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,</m:t>
          </m:r>
          <m:r>
            <m:t>φ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E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φ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E</m:t>
                  </m:r>
                </m:e>
                <m:sub>
                  <m:r>
                    <m:t>φ</m:t>
                  </m:r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φ</m:t>
              </m:r>
              <m:r>
                <m:rPr>
                  <m:sty m:val="p"/>
                </m:rPr>
                <m:t>)</m:t>
              </m:r>
            </m:e>
          </m:d>
          <m:r>
            <m:t> </m:t>
          </m:r>
          <m:r>
            <m:rPr>
              <m:sty m:val="p"/>
            </m:rPr>
            <m:t>∈</m:t>
          </m:r>
          <m:r>
            <m:t> 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где индекс «UT» обозначает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iCs/>
          <w:sz w:val="28"/>
        </w:rPr>
        <w:t xml:space="preserve">under test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— поле тестируемого излучателя. Поле дискретизируется на равномерной угловой сетке: азимут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φ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пробегает значения от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0</m:t>
        </m:r>
        <m:r>
          <m:rPr>
            <m:sty m:val="p"/>
          </m:rPr>
          <m:t>°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до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359</m:t>
        </m:r>
        <m:r>
          <m:rPr>
            <m:sty m:val="p"/>
          </m:rPr>
          <m:t>°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за 360 шагов, полярный угол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θ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— от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1</m:t>
        </m:r>
        <m:r>
          <m:rPr>
            <m:sty m:val="p"/>
          </m:rPr>
          <m:t>°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до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179</m:t>
        </m:r>
        <m:r>
          <m:rPr>
            <m:sty m:val="p"/>
          </m:rPr>
          <m:t>°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за 179 шагов. Полюса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и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θ</m:t>
        </m:r>
        <m:r>
          <m:rPr>
            <m:sty m:val="p"/>
          </m:rPr>
          <m:t>=</m:t>
        </m:r>
        <m:r>
          <m:t>180</m:t>
        </m:r>
        <m:r>
          <m:rPr>
            <m:sty m:val="p"/>
          </m:rPr>
          <m:t>°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исключены: элемент площади на сфере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rPr>
            <m:sty m:val="p"/>
          </m:rPr>
          <m:t>sin</m:t>
        </m:r>
        <m:r>
          <m:t>θ</m:t>
        </m:r>
        <m:r>
          <m:t> </m:t>
        </m:r>
        <m:r>
          <m:rPr>
            <m:sty m:val="p"/>
          </m:rPr>
          <m:t>d</m:t>
        </m:r>
        <m:r>
          <m:t>θ</m:t>
        </m:r>
        <m:r>
          <m:t> </m:t>
        </m:r>
        <m:r>
          <m:rPr>
            <m:sty m:val="p"/>
          </m:rPr>
          <m:t>d</m:t>
        </m:r>
        <m:r>
          <m:t>φ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обращается там в нуль, и в дискретном представлении на полюсах азимут не определён [2, гл. 1].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Полное дискретизированное поле, таким образом, лежит в массиве формы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rPr>
            <m:sty m:val="p"/>
          </m:rPr>
          <m:t>(</m:t>
        </m:r>
        <m:r>
          <m:t>360</m:t>
        </m:r>
        <m:r>
          <m:rPr>
            <m:sty m:val="p"/>
          </m:rPr>
          <m:t>,</m:t>
        </m:r>
        <m:r>
          <m:t>179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с комплексными элементами. Подсчёт вещественных степеней свободы: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dim</m:t>
              </m:r>
            </m:e>
            <m:sub>
              <m:r>
                <m:rPr>
                  <m:scr m:val="double-struck"/>
                  <m:sty m:val="p"/>
                </m:rPr>
                <m:t>R</m:t>
              </m:r>
            </m:sub>
          </m:sSub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compl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real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×</m:t>
          </m:r>
          <m:r>
            <m:t> </m:t>
          </m:r>
          <m:r>
            <m:t>360</m:t>
          </m:r>
          <m:r>
            <m:t> </m:t>
          </m:r>
          <m:r>
            <m:rPr>
              <m:sty m:val="p"/>
            </m:rPr>
            <m:t>(</m:t>
          </m:r>
          <m:r>
            <m:t>φ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×</m:t>
          </m:r>
          <m:r>
            <m:t> </m:t>
          </m:r>
          <m:r>
            <m:t>179</m:t>
          </m:r>
          <m:r>
            <m:t> 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×</m:t>
          </m:r>
          <m:r>
            <m:t> 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φ</m:t>
              </m:r>
            </m:sub>
          </m:sSub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257</m:t>
          </m:r>
          <m:r>
            <m:t> </m:t>
          </m:r>
          <m:r>
            <m:t>760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Сетка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360</m:t>
        </m:r>
        <m:r>
          <m:rPr>
            <m:sty m:val="p"/>
          </m:rPr>
          <m:t>×</m:t>
        </m:r>
        <m:r>
          <m:t>179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значительно превосходит полосу пропускания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: стандартная теория дискретизации на сфере [2] требует приблизительно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2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азимутальных выборок на кольцо, что при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даёт минимум 11. Избыточная дискретизация даёт численный запас на дискретные внутренние произведения § 1.3 и совпадает с угловым разрешением реальной выборки антенн (§ 2.2).</w:t>
      </w:r>
    </w:p>
    <w:bookmarkEnd w:id="10"/>
    <w:bookmarkStart w:id="11" w:name="Xfa95e4df8a62831a0e55c5bd901050d2c875699"/>
    <w:p>
      <w:pPr>
        <w:pStyle w:val="Heading2"/>
        <w:spacing w:line="360" w:lineRule="auto" w:before="24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 xml:space="preserve">1.3. Аналитический метод разложения: скалярные произведения с базисными модами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Для полностью измеренного комплексного поля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sSub>
          <m:e>
            <m:r>
              <m:t>E</m:t>
            </m:r>
          </m:e>
          <m:sub>
            <m:r>
              <m:t>U</m:t>
            </m:r>
            <m:r>
              <m:t>T</m:t>
            </m:r>
          </m:sub>
        </m:sSub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мультипольные коэффициенты восстанавливаются точно прямой проекцией. Векторные сферические гармоники ортогональны относительно стандартного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-произведения на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с весом площади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  <m:r>
          <m:t> </m:t>
        </m:r>
        <m:r>
          <m:rPr>
            <m:sty m:val="p"/>
          </m:rPr>
          <m:t>d</m:t>
        </m:r>
        <m:r>
          <m:t>θ</m:t>
        </m:r>
        <m:r>
          <m:t> </m:t>
        </m:r>
        <m:r>
          <m:rPr>
            <m:sty m:val="p"/>
          </m:rPr>
          <m:t>d</m:t>
        </m:r>
        <m:r>
          <m:t>φ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, поэтому обратная задача редуцируется к одному скалярному произведению на коэффициент: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l</m:t>
              </m:r>
              <m:r>
                <m:t>m</m:t>
              </m:r>
            </m:sub>
            <m:sup>
              <m:r>
                <m:t>X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⟨</m:t>
          </m:r>
          <m:r>
            <m:t> </m:t>
          </m:r>
          <m:sSub>
            <m:e>
              <m:r>
                <m:t>E</m:t>
              </m:r>
            </m:e>
            <m:sub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 </m:t>
          </m:r>
          <m:sSubSup>
            <m:e>
              <m:r>
                <m:rPr>
                  <m:sty m:val="b"/>
                </m:rPr>
                <m:t>Ψ</m:t>
              </m:r>
            </m:e>
            <m:sub>
              <m:r>
                <m:t>l</m:t>
              </m:r>
              <m:r>
                <m:t>m</m:t>
              </m:r>
            </m:sub>
            <m:sup>
              <m:r>
                <m:t>X</m:t>
              </m:r>
            </m:sup>
          </m:sSubSup>
          <m:r>
            <m:t> </m:t>
          </m:r>
          <m:sSub>
            <m:e>
              <m:r>
                <m:rPr>
                  <m:sty m:val="p"/>
                </m:rPr>
                <m:t>⟩</m:t>
              </m:r>
            </m:e>
            <m:sub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E</m:t>
                  </m:r>
                </m:e>
                <m:sub>
                  <m:r>
                    <m:t>U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,</m:t>
          </m:r>
          <m:r>
            <m:t>φ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bar>
            <m:barPr>
              <m:pos m:val="top"/>
            </m:barPr>
            <m:e>
              <m:sSubSup>
                <m:e>
                  <m:r>
                    <m:rPr>
                      <m:sty m:val="b"/>
                    </m:rPr>
                    <m:t>Ψ</m:t>
                  </m:r>
                </m:e>
                <m:sub>
                  <m:r>
                    <m:t>l</m:t>
                  </m:r>
                  <m:r>
                    <m:t>m</m:t>
                  </m:r>
                </m:sub>
                <m:sup>
                  <m:r>
                    <m:t>X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φ</m:t>
              </m:r>
              <m:r>
                <m:rPr>
                  <m:sty m:val="p"/>
                </m:rPr>
                <m:t>)</m:t>
              </m:r>
            </m:e>
          </m:bar>
          <m:r>
            <m:t> </m:t>
          </m:r>
          <m:r>
            <m:rPr>
              <m:sty m:val="p"/>
            </m:rPr>
            <m:t>sin</m:t>
          </m:r>
          <m:r>
            <m:t>θ</m:t>
          </m:r>
          <m:r>
            <m:t> </m:t>
          </m:r>
          <m:r>
            <m:rPr>
              <m:sty m:val="p"/>
            </m:rPr>
            <m:t>d</m:t>
          </m:r>
          <m:r>
            <m:t>θ</m:t>
          </m:r>
          <m:r>
            <m:t> </m:t>
          </m:r>
          <m:r>
            <m:rPr>
              <m:sty m:val="p"/>
            </m:rPr>
            <m:t>d</m:t>
          </m:r>
          <m:r>
            <m:t>φ</m:t>
          </m:r>
          <m:r>
            <m:rPr>
              <m:sty m:val="p"/>
            </m:rPr>
            <m:t>,</m:t>
          </m:r>
          <m:r>
            <m:t>  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E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В дискретной реализации поле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sSub>
          <m:e>
            <m:r>
              <m:t>E</m:t>
            </m:r>
          </m:e>
          <m:sub>
            <m:r>
              <m:t>U</m:t>
            </m:r>
            <m:r>
              <m:t>T</m:t>
            </m:r>
          </m:sub>
        </m:sSub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записывается как вектор длины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a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g</m:t>
            </m:r>
          </m:sub>
        </m:sSub>
        <m:r>
          <m:rPr>
            <m:sty m:val="p"/>
          </m:rPr>
          <m:t>=</m:t>
        </m:r>
        <m:r>
          <m:t>128</m:t>
        </m:r>
        <m:r>
          <m:t> </m:t>
        </m:r>
        <m:r>
          <m:t>880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комплексных элементов;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2</m:t>
        </m:r>
        <m:r>
          <m:t>K</m:t>
        </m:r>
        <m:r>
          <m:rPr>
            <m:sty m:val="p"/>
          </m:rPr>
          <m:t>=</m:t>
        </m:r>
        <m:r>
          <m:t>70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базисных функций, упакованных тем же образом и свёрнутых с весом площади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  <m:r>
          <m:t> </m:t>
        </m:r>
        <m:r>
          <m:rPr>
            <m:sty m:val="p"/>
          </m:rPr>
          <m:t>Δ</m:t>
        </m:r>
        <m:r>
          <m:t>θ</m:t>
        </m:r>
        <m:r>
          <m:t> </m:t>
        </m:r>
        <m:r>
          <m:rPr>
            <m:sty m:val="p"/>
          </m:rPr>
          <m:t>Δ</m:t>
        </m:r>
        <m:r>
          <m:t>φ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, образуют матрицу разложения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70</m:t>
            </m:r>
            <m:r>
              <m:rPr>
                <m:sty m:val="p"/>
              </m:rPr>
              <m:t>×</m:t>
            </m:r>
            <m:r>
              <m:t>128880</m:t>
            </m:r>
          </m:sup>
        </m:sSup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. Восстановление сводится к одному матрично-векторному умножению: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⋅</m:t>
        </m:r>
        <m:r>
          <m:rPr>
            <m:sty m:val="p"/>
          </m:rPr>
          <m:t>v</m:t>
        </m:r>
        <m:r>
          <m:rPr>
            <m:sty m:val="p"/>
          </m:rPr>
          <m:t>e</m:t>
        </m:r>
        <m:r>
          <m:rPr>
            <m:sty m:val="p"/>
          </m:rPr>
          <m:t>c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U</m:t>
            </m:r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70</m:t>
            </m:r>
          </m:sup>
        </m:sSup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Это эталонная неитеративная инверсия — детерминированная, линейная и точная (с точностью до квадратурной ошибки взвешенного по площади приближения интеграла Римана), не требующая ни итераций, ни априорного распределения над коэффициентами. Подвох — в словах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iCs/>
          <w:sz w:val="28"/>
        </w:rPr>
        <w:t xml:space="preserve">полностью измеренное комплексное поле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: скалярному произведению нужны и амплитуда, и фаза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sSub>
          <m:e>
            <m:r>
              <m:t>E</m:t>
            </m:r>
          </m:e>
          <m:sub>
            <m:r>
              <m:t>θ</m:t>
            </m:r>
          </m:sub>
        </m:sSub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и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sSub>
          <m:e>
            <m:r>
              <m:t>E</m:t>
            </m:r>
          </m:e>
          <m:sub>
            <m:r>
              <m:t>φ</m:t>
            </m:r>
          </m:sub>
        </m:sSub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на каждой угловой выборке.</w:t>
      </w:r>
    </w:p>
    <w:bookmarkEnd w:id="11"/>
    <w:bookmarkStart w:id="12" w:name="X812e62b6d51b97a36681b766a71e691defc4e23"/>
    <w:p>
      <w:pPr>
        <w:pStyle w:val="Heading2"/>
        <w:spacing w:line="360" w:lineRule="auto" w:before="24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 xml:space="preserve">1.4. Практическая проблема: измерение мощности вместо комплексного поля и потеря фазовой информации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В промышленной и лабораторной характеризации антенн в дальней зоне регистрируется только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bCs/>
          <w:sz w:val="28"/>
        </w:rPr>
        <w:t xml:space="preserve">мощностная диаграмма направленности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,</m:t>
          </m:r>
          <m:r>
            <m:t>φ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|</m:t>
          </m:r>
          <m:sSub>
            <m:e>
              <m:r>
                <m:t>E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,</m:t>
          </m:r>
          <m:r>
            <m:t>φ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rPr>
              <m:sty m:val="p"/>
            </m:rPr>
            <m:t>|</m:t>
          </m:r>
          <m:sSub>
            <m:e>
              <m:r>
                <m:t>E</m:t>
              </m:r>
            </m:e>
            <m:sub>
              <m:r>
                <m:t>φ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,</m:t>
          </m:r>
          <m:r>
            <m:t>φ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Когерентное измерение комплексных амплитуд требует фазостабильной аппаратуры, узкополосных источников и контролируемого опорного канала; такие системы дороги, медленны и стандартны лишь в специализированных метрологических лабораториях [2, гл. 1]. Детекторы мощности дёшевы, широкополосны и дают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r>
          <m:t>φ</m:t>
        </m:r>
        <m:r>
          <m:rPr>
            <m:sty m:val="p"/>
          </m:rPr>
          <m:t>)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без опорного фазового канала; большинство измеряемых данных вне специализированных установок ближнего/дальнего поля —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iCs/>
          <w:sz w:val="28"/>
        </w:rPr>
        <w:t xml:space="preserve">безфазовые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. Численное следствие: дискретизированная диаграмма уменьшается с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257</m:t>
        </m:r>
        <m:r>
          <m:t> </m:t>
        </m:r>
        <m:r>
          <m:t>760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до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360</m:t>
        </m:r>
        <m:r>
          <m:rPr>
            <m:sty m:val="p"/>
          </m:rPr>
          <m:t>×</m:t>
        </m:r>
        <m:r>
          <m:t>179</m:t>
        </m:r>
        <m:r>
          <m:rPr>
            <m:sty m:val="p"/>
          </m:rPr>
          <m:t>=</m:t>
        </m:r>
        <m:r>
          <m:t>64</m:t>
        </m:r>
        <m:r>
          <m:t> </m:t>
        </m:r>
        <m:r>
          <m:t>440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вещественных чисел, что соответствует четырёхкратному коллапсу на угловую выборку. Аналитическое разложение § 1.3 при этом неприменимо, так как скалярное произведение требует комплексного поля.</w:t>
      </w:r>
    </w:p>
    <w:bookmarkEnd w:id="12"/>
    <w:bookmarkStart w:id="13" w:name="X0241a0214db0aab182070045ba8c82bfad1deca"/>
    <w:p>
      <w:pPr>
        <w:pStyle w:val="Heading2"/>
        <w:spacing w:line="360" w:lineRule="auto" w:before="24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 xml:space="preserve">1.5. Формальная постановка обратной задачи: отображение</w:t>
      </w:r>
      <w:r>
        <w:rPr>
          <w:rFonts w:ascii="Times New Roman" w:hAnsi="Times New Roman" w:cs="Times New Roman" w:eastAsia="Times New Roman"/>
          <w:b/>
          <w:sz w:val="28"/>
        </w:rPr>
        <w:t xml:space="preserve"> </w:t>
      </w:r>
      <m:oMath>
        <m:sSub>
          <m:e>
            <m:r>
              <m:t>P</m:t>
            </m:r>
          </m:e>
          <m:sub>
            <m:r>
              <m:t>U</m:t>
            </m:r>
            <m:r>
              <m:t>T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E</m:t>
            </m:r>
          </m:sup>
        </m:sSup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</m:oMath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Обратная задача настоящей работы есть отображение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U</m:t>
              </m:r>
              <m:r>
                <m:t>T</m:t>
              </m:r>
            </m:sub>
          </m:sSub>
          <m:r>
            <m:t> </m:t>
          </m:r>
          <m:r>
            <m:rPr>
              <m:sty m:val="p"/>
            </m:rPr>
            <m:t>→</m:t>
          </m:r>
          <m:r>
            <m:t> 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E</m:t>
              </m:r>
            </m:sup>
          </m:sSup>
          <m:r>
            <m:rPr>
              <m:sty m:val="p"/>
            </m:rPr>
            <m:t>,</m:t>
          </m:r>
          <m:sSup>
            <m:e>
              <m:r>
                <m:t>a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где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sSub>
          <m:e>
            <m:r>
              <m:t>P</m:t>
            </m:r>
          </m:e>
          <m:sub>
            <m:r>
              <m:t>U</m:t>
            </m:r>
            <m:r>
              <m:t>T</m:t>
            </m:r>
          </m:sub>
        </m:sSub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≥</m:t>
            </m:r>
            <m:r>
              <m:t>0</m:t>
            </m:r>
          </m:sub>
          <m:sup>
            <m:r>
              <m:t>360</m:t>
            </m:r>
            <m:r>
              <m:rPr>
                <m:sty m:val="p"/>
              </m:rPr>
              <m:t>×</m:t>
            </m:r>
            <m:r>
              <m:t>179</m:t>
            </m:r>
          </m:sup>
        </m:sSubSup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— мощностная диаграмма направленности § 1.4,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E</m:t>
            </m:r>
          </m:sup>
        </m:sSup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K</m:t>
            </m:r>
          </m:sup>
        </m:sSup>
        <m:r>
          <m:rPr>
            <m:sty m:val="p"/>
          </m:rPr>
          <m:t>×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K</m:t>
            </m:r>
          </m:sup>
        </m:sSup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— пара мультипольных коэффициентов при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,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35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. Прямая задача допускает чистую двухступенчатую факторизацию. Линейный оператор синтеза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rPr>
            <m:scr m:val="script"/>
            <m:sty m:val="p"/>
          </m:rPr>
          <m:t>S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конструирует комплексное поле из коэффициентов: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S</m:t>
          </m:r>
          <m:r>
            <m:rPr>
              <m:sty m:val="p"/>
            </m:rPr>
            <m:t>: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E</m:t>
              </m:r>
            </m:sup>
          </m:sSup>
          <m:r>
            <m:rPr>
              <m:sty m:val="p"/>
            </m:rPr>
            <m:t>,</m:t>
          </m:r>
          <m:sSup>
            <m:e>
              <m:r>
                <m:t>a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↦</m:t>
          </m:r>
          <m:r>
            <m:t> </m:t>
          </m:r>
          <m:sSub>
            <m:e>
              <m:r>
                <m:t>E</m:t>
              </m:r>
            </m:e>
            <m:sub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E</m:t>
              </m:r>
            </m:e>
            <m:sub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,</m:t>
          </m:r>
          <m:r>
            <m:t>φ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X</m:t>
              </m:r>
            </m:sub>
            <m:sup>
              <m:r>
                <m:t>​</m:t>
              </m:r>
            </m:sup>
            <m:e>
              <m:sSubSup>
                <m:e>
                  <m:r>
                    <m:t>a</m:t>
                  </m:r>
                </m:e>
                <m:sub>
                  <m:r>
                    <m:t>l</m:t>
                  </m:r>
                  <m:r>
                    <m:t>m</m:t>
                  </m:r>
                </m:sub>
                <m:sup>
                  <m:r>
                    <m:t>X</m:t>
                  </m:r>
                </m:sup>
              </m:sSubSup>
            </m:e>
          </m:nary>
          <m:r>
            <m:t> </m:t>
          </m:r>
          <m:sSubSup>
            <m:e>
              <m:r>
                <m:rPr>
                  <m:sty m:val="b"/>
                </m:rPr>
                <m:t>Ψ</m:t>
              </m:r>
            </m:e>
            <m:sub>
              <m:r>
                <m:t>l</m:t>
              </m:r>
              <m:r>
                <m:t>m</m:t>
              </m:r>
            </m:sub>
            <m:sup>
              <m:r>
                <m:t>X</m:t>
              </m:r>
            </m:sup>
          </m:sSub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,</m:t>
          </m:r>
          <m:r>
            <m:t>φ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Поэлементное отображение мощности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переводит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sSub>
          <m:e>
            <m:r>
              <m:t>E</m:t>
            </m:r>
          </m:e>
          <m:sub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θ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φ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в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E</m:t>
            </m:r>
          </m:e>
          <m:sub>
            <m:r>
              <m:t>θ</m:t>
            </m:r>
          </m:sub>
        </m:sSub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|</m:t>
        </m:r>
        <m:sSub>
          <m:e>
            <m:r>
              <m:t>E</m:t>
            </m:r>
          </m:e>
          <m:sub>
            <m:r>
              <m:t>φ</m:t>
            </m:r>
          </m:sub>
        </m:sSub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. Композитный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bCs/>
          <w:sz w:val="28"/>
        </w:rPr>
        <w:t xml:space="preserve">прямой оператор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—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|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∘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:</m:t>
          </m:r>
          <m:r>
            <m:rPr>
              <m:sty m:val="p"/>
            </m:rPr>
            <m:t>(</m:t>
          </m:r>
          <m:sSup>
            <m:e>
              <m:r>
                <m:t>a</m:t>
              </m:r>
            </m:e>
            <m:sup>
              <m:r>
                <m:t>E</m:t>
              </m:r>
            </m:sup>
          </m:sSup>
          <m:r>
            <m:rPr>
              <m:sty m:val="p"/>
            </m:rPr>
            <m:t>,</m:t>
          </m:r>
          <m:sSup>
            <m:e>
              <m:r>
                <m:t>a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↦</m:t>
          </m:r>
          <m:r>
            <m:t> </m:t>
          </m:r>
          <m: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а обратной задачей работы является построение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или его разумного заменителя. Оператор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rPr>
            <m:scr m:val="script"/>
            <m:sty m:val="p"/>
          </m:rPr>
          <m:t>S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линеен и на угловой сетке § 1.2 обращается аналитически по матрице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rPr>
            <m:sty m:val="bi"/>
          </m:rPr>
          <m:t>B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из § 1.3. Отображение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нелинейно и по построению множественно-в-одно: на каждой угловой выборке оно отображает комплексную пару из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≅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в её квадрат модуля, схлопывая четыре вещественных степени свободы в одну. Композиция с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rPr>
            <m:scr m:val="script"/>
            <m:sty m:val="p"/>
          </m:rPr>
          <m:t>S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этот коллапс не лечит. Является ли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rPr>
            <m:scr m:val="script"/>
            <m:sty m:val="p"/>
          </m:rPr>
          <m:t>A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как целое множественно-в-одно — рассматривается в § 1.6, и в каком объёме — в § 1.7.</w:t>
      </w:r>
    </w:p>
    <w:bookmarkEnd w:id="13"/>
    <w:bookmarkStart w:id="14" w:name="X3ae153db3efa6658a7b45e015b5f03f10a8c803"/>
    <w:p>
      <w:pPr>
        <w:pStyle w:val="Heading2"/>
        <w:spacing w:line="360" w:lineRule="auto" w:before="24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 xml:space="preserve">1.6. Информационный коллапс при переходе от поля к мощности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Неинъективность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rPr>
            <m:scr m:val="script"/>
            <m:sty m:val="p"/>
          </m:rPr>
          <m:t>A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полностью входит через поэлементное отображение мощности. На одной угловой выборке прообраз произвольного значения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P</m:t>
        </m:r>
        <m:r>
          <m:rPr>
            <m:sty m:val="p"/>
          </m:rPr>
          <m:t>&gt;</m:t>
        </m:r>
        <m:r>
          <m:t>0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есть 3-сфера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sSup>
          <m:e>
            <m:r>
              <m:t>S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радиуса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ad>
          <m:radPr>
            <m:degHide m:val="on"/>
          </m:radPr>
          <m:deg/>
          <m:e>
            <m:r>
              <m:t>P</m:t>
            </m:r>
          </m:e>
        </m:rad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в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— непрерывное трёхпараметрическое семейство комплексных пар, согласующихся с одним и тем же значением мощности; локально отображение даёт коллапс четыре в одно. Агрегированно по сетке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360</m:t>
        </m:r>
        <m:r>
          <m:rPr>
            <m:sty m:val="p"/>
          </m:rPr>
          <m:t>×</m:t>
        </m:r>
        <m:r>
          <m:t>179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комплексное поле несёт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257</m:t>
        </m:r>
        <m:r>
          <m:t> </m:t>
        </m:r>
        <m:r>
          <m:t>760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вещественных степеней свободы, мощностная диаграмма — лишь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64</m:t>
        </m:r>
        <m:r>
          <m:t> </m:t>
        </m:r>
        <m:r>
          <m:t>440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; три четверти угловой информации не имеют представления в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P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Подсчёт размерностей не доказывает, однако, неинъективности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rPr>
            <m:scr m:val="script"/>
            <m:sty m:val="p"/>
          </m:rPr>
          <m:t>A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как целого: образ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rPr>
            <m:scr m:val="script"/>
            <m:sty m:val="p"/>
          </m:rPr>
          <m:t>S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— низкоразмерное (</w:t>
      </w:r>
      <m:oMath>
        <m:r>
          <m:t>4</m:t>
        </m:r>
        <m:r>
          <m:t>K</m:t>
        </m:r>
        <m:r>
          <m:rPr>
            <m:sty m:val="p"/>
          </m:rPr>
          <m:t>=</m:t>
        </m:r>
        <m:r>
          <m:t>140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) подмногообразие пространства поля, а не всё это пространство, и коллапс действует на много меньшем объекте. В отброшенной информации концептуально различимы два качественно разных источника неоднозначности — тривиальная глобальная фаза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U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, очевидная из инвариантности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P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e</m:t>
            </m:r>
          </m:e>
          <m:sup>
            <m:r>
              <m:t>i</m:t>
            </m:r>
            <m:r>
              <m:t>α</m:t>
            </m:r>
          </m:sup>
        </m:sSup>
        <m:r>
          <m:t>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[</m:t>
        </m:r>
        <m:r>
          <m:t>E</m:t>
        </m:r>
        <m:r>
          <m:rPr>
            <m:sty m:val="p"/>
          </m:rPr>
          <m:t>]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, и неоднозначность в пространстве коэффициентов сверх глобальной фазы, возникающая из перекрёстных слагаемых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sSubSup>
          <m:e>
            <m:r>
              <m:t>a</m:t>
            </m:r>
          </m:e>
          <m:sub>
            <m:r>
              <m:t>l</m:t>
            </m:r>
            <m:r>
              <m:t>m</m:t>
            </m:r>
          </m:sub>
          <m:sup>
            <m:r>
              <m:t>X</m:t>
            </m:r>
          </m:sup>
        </m:sSubSup>
        <m:bar>
          <m:barPr>
            <m:pos m:val="top"/>
          </m:barPr>
          <m:e>
            <m:sSubSup>
              <m:e>
                <m:r>
                  <m:t>a</m:t>
                </m:r>
              </m:e>
              <m:sub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sSup>
                  <m:e>
                    <m:r>
                      <m:t>m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b>
              <m:sup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bSup>
          </m:e>
        </m:ba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при возведении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E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в квадрат модуля. Алгебраическая структура повторяет квадрат модуля разложения с ограниченной полосой и совпадает по виду с задачей фазового восстановления над иными базисами [4, 5]; в § 1.7 для сферического случая используется не такая аналогия, а прямой результат [6] для VSH.</w:t>
      </w:r>
    </w:p>
    <w:bookmarkEnd w:id="14"/>
    <w:bookmarkStart w:id="15" w:name="строгая-некорректность-обратной-задачи"/>
    <w:p>
      <w:pPr>
        <w:pStyle w:val="Heading2"/>
        <w:spacing w:line="360" w:lineRule="auto" w:before="24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 xml:space="preserve">1.7. Строгая некорректность обратной задачи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Согласно классической формулировке Адамара, обратная задача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iCs/>
          <w:sz w:val="28"/>
        </w:rPr>
        <w:t xml:space="preserve">корректна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, если её решение существует, единственно и непрерывно зависит от данных; иначе она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iCs/>
          <w:sz w:val="28"/>
        </w:rPr>
        <w:t xml:space="preserve">некорректна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[3]. Прямой оператор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rPr>
            <m:scr m:val="script"/>
            <m:sty m:val="p"/>
          </m:rPr>
          <m:t>A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  <m:r>
          <m:rPr>
            <m:sty m:val="p"/>
          </m:rPr>
          <m:t>∘</m:t>
        </m:r>
        <m:r>
          <m:rPr>
            <m:scr m:val="script"/>
            <m:sty m:val="p"/>
          </m:rPr>
          <m:t>S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имеет по меньшей мере две различные тривиальные неоднозначности, обе установленные в литературе для безфазовой инверсии на сферическом базисе.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bCs/>
          <w:sz w:val="28"/>
        </w:rPr>
        <w:t xml:space="preserve">(i) Глобальная фаза</w:t>
      </w:r>
      <w:r>
        <w:rPr>
          <w:rFonts w:ascii="Times New Roman" w:hAnsi="Times New Roman" w:cs="Times New Roman" w:eastAsia="Times New Roman"/>
          <w:b w:val="0"/>
          <w:bCs/>
          <w:sz w:val="28"/>
        </w:rPr>
        <w:t xml:space="preserve"> </w:t>
      </w:r>
      <m:oMath>
        <m:r>
          <m:t>U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ascii="Times New Roman" w:hAnsi="Times New Roman" w:cs="Times New Roman" w:eastAsia="Times New Roman"/>
          <w:b w:val="0"/>
          <w:bCs/>
          <w:sz w:val="28"/>
        </w:rPr>
        <w:t xml:space="preserve">.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Для всякого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справедливо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P</m:t>
        </m:r>
        <m:r>
          <m:rPr>
            <m:sty m:val="p"/>
          </m:rPr>
          <m:t>[</m:t>
        </m:r>
        <m:sSup>
          <m:e>
            <m:r>
              <m:rPr>
                <m:sty m:val="p"/>
              </m:rPr>
              <m:t>e</m:t>
            </m:r>
          </m:e>
          <m:sup>
            <m:r>
              <m:t>i</m:t>
            </m:r>
            <m:r>
              <m:t>α</m:t>
            </m:r>
          </m:sup>
        </m:sSup>
        <m:r>
          <m:t>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[</m:t>
        </m:r>
        <m:r>
          <m:t>E</m:t>
        </m:r>
        <m:r>
          <m:rPr>
            <m:sty m:val="p"/>
          </m:rPr>
          <m:t>]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; в пространство коэффициентов это переносится как однопараметрическая орбита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E</m:t>
            </m:r>
          </m:sup>
        </m:sSup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e</m:t>
            </m:r>
          </m:e>
          <m:sup>
            <m:r>
              <m:t>i</m:t>
            </m:r>
            <m:r>
              <m:t>α</m:t>
            </m:r>
          </m:sup>
        </m:sSup>
        <m:sSup>
          <m:e>
            <m:r>
              <m:t>a</m:t>
            </m:r>
          </m:e>
          <m:sup>
            <m:r>
              <m:t>E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e</m:t>
            </m:r>
          </m:e>
          <m:sup>
            <m:r>
              <m:t>i</m:t>
            </m:r>
            <m:r>
              <m:t>α</m:t>
            </m:r>
          </m:sup>
        </m:sSup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, дающая идентичные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P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для всякого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α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. Эта неоднозначность безобидна — единственная глобальная фаза, физически бессмысленная для неинтерферометрических измерений, и фиксируется внешним соглашением.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bCs/>
          <w:sz w:val="28"/>
        </w:rPr>
        <w:t xml:space="preserve">(ii) Отражённо-сопряжённая неоднозначность.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В работе [6, гл. 6 § 6.2] установлено, что скалярные сферически-гармонические безфазовые измерения допускают вторую тривиальную неоднозначность сверх глобальной фазы: вектор коэффициентов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  <m:sub>
            <m:r>
              <m:t>l</m:t>
            </m:r>
          </m:sub>
          <m:sup>
            <m:r>
              <m:t> </m:t>
            </m:r>
            <m:r>
              <m:t>k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t> </m:t>
        </m:r>
        <m:bar>
          <m:barPr>
            <m:pos m:val="top"/>
          </m:barPr>
          <m:e>
            <m:sSubSup>
              <m:e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</m:e>
              <m:sub>
                <m:r>
                  <m:t>l</m:t>
                </m:r>
              </m:sub>
              <m:sup>
                <m:r>
                  <m:t> 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sup>
            </m:sSubSup>
          </m:e>
        </m:ba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даёт те же безфазовые измерения, что и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l</m:t>
            </m:r>
          </m:sub>
          <m:sup>
            <m:r>
              <m:t> </m:t>
            </m:r>
            <m:r>
              <m:t>k</m:t>
            </m:r>
          </m:sup>
        </m:sSubSup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. Это прямое следствие свойства комплексного сопряжения скалярных сферических гармоник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sSubSup>
          <m:e>
            <m:r>
              <m:t>Y</m:t>
            </m:r>
          </m:e>
          <m:sub>
            <m:r>
              <m:t>l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t> </m:t>
        </m:r>
        <m:bar>
          <m:barPr>
            <m:pos m:val="top"/>
          </m:barPr>
          <m:e>
            <m:sSubSup>
              <m:e>
                <m:r>
                  <m:t>Y</m:t>
                </m:r>
              </m:e>
              <m:sub>
                <m:r>
                  <m:t>l</m:t>
                </m:r>
              </m:sub>
              <m:sup>
                <m:r>
                  <m:rPr>
                    <m:sty m:val="p"/>
                  </m:rPr>
                  <m:t>−</m:t>
                </m:r>
                <m:r>
                  <m:t>k</m:t>
                </m:r>
              </m:sup>
            </m:sSubSup>
          </m:e>
        </m:ba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. Аргумент переносится на векторные сферические гармоники с одной дополнительной выкладкой: VSH в конвенции Джексона [1, гл. 9] построены из скалярных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sSub>
          <m:e>
            <m:r>
              <m:t>Y</m:t>
            </m:r>
          </m:e>
          <m:sub>
            <m:r>
              <m:t>l</m:t>
            </m:r>
            <m:r>
              <m:t>m</m:t>
            </m:r>
          </m:sub>
        </m:sSub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применением операторов углового момента и радиального векторного произведения, оба из которых вещественны на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и потому коммутируют с комплексным сопряжением. В результате правило сопряжения для VSH принимает вид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bar>
          <m:barPr>
            <m:pos m:val="top"/>
          </m:barPr>
          <m:e>
            <m:sSubSup>
              <m:e>
                <m:r>
                  <m:rPr>
                    <m:sty m:val="b"/>
                  </m:rPr>
                  <m:t>Ψ</m:t>
                </m:r>
              </m:e>
              <m:sub>
                <m:r>
                  <m:t>l</m:t>
                </m:r>
                <m:r>
                  <m:t>m</m:t>
                </m:r>
              </m:sub>
              <m:sup>
                <m:r>
                  <m:t>X</m:t>
                </m:r>
              </m:sup>
            </m:sSubSup>
          </m:e>
        </m:ba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m</m:t>
            </m:r>
          </m:sup>
        </m:sSup>
        <m:r>
          <m:t> </m:t>
        </m:r>
        <m:sSubSup>
          <m:e>
            <m:r>
              <m:rPr>
                <m:sty m:val="b"/>
              </m:rPr>
              <m:t>Ψ</m:t>
            </m:r>
          </m:e>
          <m:sub>
            <m:r>
              <m:t>l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m</m:t>
            </m:r>
          </m:sub>
          <m:sup>
            <m:r>
              <m:t>X</m:t>
            </m:r>
          </m:sup>
        </m:sSubSup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. Определив отражённо-сопряжённый вектор коэффициентов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sSubSup>
          <m:e>
            <m:r>
              <m:t>​</m:t>
            </m:r>
          </m:e>
          <m:sub>
            <m:r>
              <m:t>l</m:t>
            </m:r>
            <m:r>
              <m:t>m</m:t>
            </m:r>
          </m:sub>
          <m:sup>
            <m:r>
              <m:t> </m:t>
            </m:r>
            <m:r>
              <m:t>X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m</m:t>
            </m:r>
          </m:sup>
        </m:sSup>
        <m:r>
          <m:t> </m:t>
        </m:r>
        <m:bar>
          <m:barPr>
            <m:pos m:val="top"/>
          </m:barPr>
          <m:e>
            <m:sSubSup>
              <m:e>
                <m:r>
                  <m:t>a</m:t>
                </m:r>
              </m:e>
              <m:sub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</m:sub>
              <m:sup>
                <m:r>
                  <m:t>X</m:t>
                </m:r>
              </m:sup>
            </m:sSubSup>
          </m:e>
        </m:ba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, прямым переиндексированием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m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m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получаем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]</m:t>
            </m:r>
          </m:e>
        </m:ba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, откуда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rPr>
            <m:sty m:val="p"/>
          </m:rPr>
          <m:t>|</m:t>
        </m:r>
        <m:r>
          <m:t>E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]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|</m:t>
        </m:r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поточечно на сфере, то есть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rPr>
            <m:scr m:val="script"/>
            <m:sty m:val="p"/>
          </m:rPr>
          <m:t>A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. Факторизация по орбите глобальной фазы единственности не восстанавливает: остаётся вторая, дискретная неоднозначность отражения, и прообраз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U</m:t>
            </m:r>
            <m:r>
              <m:t>T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содержит по меньшей мере две топологически различные компоненты для каждого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sSub>
          <m:e>
            <m:r>
              <m:t>P</m:t>
            </m:r>
          </m:e>
          <m:sub>
            <m:r>
              <m:t>U</m:t>
            </m:r>
            <m:r>
              <m:t>T</m:t>
            </m:r>
          </m:sub>
        </m:sSub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из образа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rPr>
            <m:scr m:val="script"/>
            <m:sty m:val="p"/>
          </m:rPr>
          <m:t>A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bCs/>
          <w:sz w:val="28"/>
        </w:rPr>
        <w:t xml:space="preserve">Дополнительные классы.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В [6, предложение 6.2.1] приведены конкретные схемы дискретизации, при которых сферически-гармоническая измерительная матрица становится вырожденной по рангу и появляются дополнительные неоднозначности, зависящие от выбранной сетки. Полная угловая сетка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360</m:t>
        </m:r>
        <m:r>
          <m:rPr>
            <m:sty m:val="p"/>
          </m:rPr>
          <m:t>×</m:t>
        </m:r>
        <m:r>
          <m:t>179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из § 1.2 содержит избыточное число выборок относительно полосы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(стандартная теория дискретизации [2] требует не менее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2</m:t>
        </m:r>
        <m:r>
          <m:t>L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азимутальных и сравнимого числа полярных колец); по предварительному анализу она не относится к семейству вырожденных схем [6, предложение 6.2.1], строгая проверка ранга измерительной матрицы для этой сетки выходит за рамки настоящей главы и обсуждается экспериментально в Главе 6. Возможные нетривиальные неоднозначности безфазовой инверсии VSH сверх перечисленных в литературе не классифицированы и ниже рассматриваются как рабочая гипотеза.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bCs/>
          <w:sz w:val="28"/>
        </w:rPr>
        <w:t xml:space="preserve">Итог.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Обратная задача в смысле Адамара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bCs/>
          <w:sz w:val="28"/>
        </w:rPr>
        <w:t xml:space="preserve">некорректна по нарушению единственности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— как минимум по орбите глобальной фазы и по отражённо-сопряжённому отражению, возможно, ещё больше. Это структурный факт о задаче, а не недостаток конкретного численного метода: никакой алгоритм — аналитический, итеративный или машинно-обученный — не способен восстановить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iCs/>
          <w:sz w:val="28"/>
        </w:rPr>
        <w:t xml:space="preserve">прообраз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для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sSub>
          <m:e>
            <m:r>
              <m:t>P</m:t>
            </m:r>
          </m:e>
          <m:sub>
            <m:r>
              <m:t>U</m:t>
            </m:r>
            <m:r>
              <m:t>T</m:t>
            </m:r>
          </m:sub>
        </m:sSub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, поскольку такого прообраза нет. От алгоритма допустимо требовать восстановления одного прообраза, выбираемого по внешне заданному критерию.</w:t>
      </w:r>
    </w:p>
    <w:bookmarkEnd w:id="15"/>
    <w:bookmarkStart w:id="16" w:name="X524de001dc27f5f4a3c043a878676d2fb1a2def"/>
    <w:p>
      <w:pPr>
        <w:pStyle w:val="Heading2"/>
        <w:spacing w:line="360" w:lineRule="auto" w:before="24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 xml:space="preserve">1.8. Машинное обучение как регуляризация некорректной обратной задачи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Идентифицировав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rPr>
            <m:scr m:val="script"/>
            <m:sty m:val="p"/>
          </m:rPr>
          <m:t>A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через упаковку § 1.1 с его вещественно-векторной формой, классическое регуляризованное решение некорректной обратной задачи записывается как минимизатор суммы двух слагаемых — невязки по данным и регуляризатора: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a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4</m:t>
                  </m:r>
                  <m:r>
                    <m:t>K</m:t>
                  </m:r>
                </m:sup>
              </m:sSup>
            </m:lim>
          </m:limLow>
          <m:r>
            <m:t> </m:t>
          </m:r>
          <m:r>
            <m:t> </m:t>
          </m:r>
          <m:r>
            <m:rPr>
              <m:sty m:val="p"/>
            </m:rPr>
            <m:t>∥</m:t>
          </m:r>
          <m:r>
            <m:rPr>
              <m:scr m:val="script"/>
              <m:sty m:val="p"/>
            </m:rPr>
            <m:t>A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U</m:t>
              </m:r>
              <m:r>
                <m:t>T</m:t>
              </m:r>
            </m:sub>
          </m:sSub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w</m:t>
              </m:r>
            </m:sub>
            <m:sup>
              <m:r>
                <m:t>2</m:t>
              </m:r>
            </m:sup>
          </m:sSubSup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λ</m:t>
          </m:r>
          <m:r>
            <m:t> </m:t>
          </m:r>
          <m:r>
            <m:t>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где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⋅</m:t>
        </m:r>
        <m:sSub>
          <m:e>
            <m:r>
              <m:rPr>
                <m:sty m:val="p"/>
              </m:rPr>
              <m:t>∥</m:t>
            </m:r>
          </m:e>
          <m:sub>
            <m:r>
              <m:t>w</m:t>
            </m:r>
          </m:sub>
        </m:sSub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—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-норма с весом площади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θ</m:t>
        </m:r>
        <m:r>
          <m:t> </m:t>
        </m:r>
        <m:r>
          <m:rPr>
            <m:sty m:val="p"/>
          </m:rPr>
          <m:t>Δ</m:t>
        </m:r>
        <m:r>
          <m:t>θ</m:t>
        </m:r>
        <m:r>
          <m:t> </m:t>
        </m:r>
        <m:r>
          <m:rPr>
            <m:sty m:val="p"/>
          </m:rPr>
          <m:t>Δ</m:t>
        </m:r>
        <m:r>
          <m:t>φ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из § 1.3,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— регуляризатор,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λ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— гиперпараметр компромисса между невязкой и регулярностью. Под этот шаблон подходят регуляризация Тихонова (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∥</m:t>
        </m:r>
        <m:r>
          <m:t>a</m:t>
        </m:r>
        <m:sSubSup>
          <m:e>
            <m:r>
              <m:rPr>
                <m:sty m:val="p"/>
              </m:rPr>
              <m:t>∥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), разреженность (</w:t>
      </w:r>
      <m:oMath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∥</m:t>
        </m:r>
        <m:r>
          <m:t>a</m:t>
        </m:r>
        <m:sSub>
          <m:e>
            <m:r>
              <m:rPr>
                <m:sty m:val="p"/>
              </m:rPr>
              <m:t>∥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), полная вариация и многие другие [3].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Каждый из этих классических регуляризаторов кодирует явное априорное распределение над пространством коэффициентов и в мультипольной постановке имеет конкретный режим неудачи на концептуальном уровне. Регуляризация Тихонова стягивает коэффициенты к нулю с единым глобальным масштабом и не различает моды по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l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. Регуляризация по разреженности предполагает, что реальная диаграмма генерируется небольшим числом активных мод, что не следует из физики задачи. Регуляризация по полной вариации требует понятия соседних индексов, которого в мультипольной системе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канонически нет. Действительно ли эмпирическое распределение коэффициентов в работе побеждает Тихонова и разреженность — устанавливается экспериментами Главы 6; роль § 1.8 — лишь мотивировать переход к машинно-обученному регуляризатору.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Реакция, основанная на данных, на расхождение между классическими регуляризаторами и неизвестным физическим априорным распределением — выучить регуляризатор по примерам. Для обучающего множества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n</m:t>
            </m:r>
          </m:sub>
          <m:sup>
            <m:r>
              <m:t>E</m:t>
            </m:r>
          </m:sup>
        </m:sSubSup>
        <m:r>
          <m:rPr>
            <m:sty m:val="p"/>
          </m:rPr>
          <m:t>,</m:t>
        </m:r>
        <m:sSubSup>
          <m:e>
            <m:r>
              <m:t>a</m:t>
            </m:r>
          </m:e>
          <m:sub>
            <m:r>
              <m:t>n</m:t>
            </m:r>
          </m:sub>
          <m:sup>
            <m:r>
              <m:t>M</m:t>
            </m:r>
          </m:sup>
        </m:sSubSup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sSubSup>
          <m:e>
            <m:r>
              <m:rPr>
                <m:sty m:val="p"/>
              </m:rPr>
              <m:t>}</m:t>
            </m:r>
          </m:e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физически правдоподобных коэффициентов и порождаемых ими мощностных диаграмм параметрическая модель</w:t>
      </w:r>
    </w:p>
    <w:p>
      <w:pPr>
        <w:pStyle w:val="BodyText"/>
        <w:spacing w:line="360" w:lineRule="auto" w:before="0" w:after="0"/>
        <w:ind w:firstLine="709"/>
        <w:jc w:val="both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η</m:t>
              </m:r>
            </m:sub>
          </m:sSub>
          <m:r>
            <m:rPr>
              <m:sty m:val="p"/>
            </m:rPr>
            <m:t>: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64</m:t>
              </m:r>
              <m:r>
                <m:t> </m:t>
              </m:r>
              <m:r>
                <m:t>440</m:t>
              </m:r>
            </m:sup>
          </m:sSup>
          <m:r>
            <m:rPr>
              <m:sty m:val="p"/>
            </m:rPr>
            <m:t>→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4</m:t>
              </m:r>
              <m:r>
                <m:t>K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sSub>
                <m:e>
                  <m:r>
                    <m:t>d</m:t>
                  </m:r>
                </m:e>
                <m:sub>
                  <m:r>
                    <m:t>η</m:t>
                  </m:r>
                </m:sub>
              </m:sSub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 xml:space="preserve">обучается отображать мощностную диаграмму непосредственно в один прообраз: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sSub>
          <m:e>
            <m:r>
              <m:t>f</m:t>
            </m:r>
          </m:e>
          <m:sub>
            <m:r>
              <m:t>η</m:t>
            </m:r>
          </m:sub>
        </m:sSub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U</m:t>
            </m:r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E</m:t>
            </m:r>
          </m:sup>
        </m:sSup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U</m:t>
            </m:r>
            <m:r>
              <m:t>T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. Сеть не должна и не может восстановить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iCs/>
          <w:sz w:val="28"/>
        </w:rPr>
        <w:t xml:space="preserve">прообраз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, поскольку такого объекта нет (§ 1.7), но обучается последовательно выбирать прообраз, ближайший к тем, что встречаются в обучающем распределении. Само обучающее распределение и есть регуляризатор: оно неявно и с высоким разрешением задаёт, что считается реалистичным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E</m:t>
            </m:r>
          </m:sup>
        </m:sSup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, и закодировано в параметрах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r>
          <m:t>η</m:t>
        </m:r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. В настоящей работе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m:oMath>
        <m:sSub>
          <m:e>
            <m:r>
              <m:t>f</m:t>
            </m:r>
          </m:e>
          <m:sub>
            <m:r>
              <m:t>η</m:t>
            </m:r>
          </m:sub>
        </m:sSub>
      </m:oMath>
      <w:r>
        <w:rPr>
          <w:rFonts w:ascii="Times New Roman" w:hAnsi="Times New Roman" w:cs="Times New Roman" w:eastAsia="Times New Roman"/>
          <w:b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sz w:val="28"/>
        </w:rPr>
        <w:t xml:space="preserve">реализуется как прямая (без внутренней оптимизационной петли) сеть на основе многослойного перцептрона; конкретные архитектуры — Глава 3, выбор функций потерь — Глава 4, метрики качества — Глава 5, экспериментальное исследование — Глава 6, описание программного фреймворка — Глава 7.</w:t>
      </w:r>
    </w:p>
    <w:bookmarkEnd w:id="16"/>
    <w:bookmarkEnd w:id="17"/>
    <w:sectPr>
      <w:footerReference w:type="default" r:id="rId9"/>
      <w:footerReference w:type="first" r:id="rId10"/>
      <w:footnotePr>
        <w:numRestart w:val="eachSect"/>
      </w:footnotePr>
      <w:pgSz w:w="11906" w:h="16838"/>
      <w:pgMar w:left="1701" w:right="850" w:top="1134" w:bottom="1134" w:footer="680"/>
      <w:titlePg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0"/>
      <w:jc w:val="center"/>
    </w:pPr>
    <w:r>
      <w:rPr>
        <w:rFonts w:ascii="Times New Roman" w:hAnsi="Times New Roman" w:cs="Times New Roman" w:eastAsia="Times New Roman"/>
        <w:b w:val="0"/>
        <w:sz w:val="24"/>
      </w:rPr>
      <w:fldChar w:fldCharType="begin"/>
      <w:instrText xml:space="preserve">PAGE \* MERGEFORMAT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8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cs="Times New Roman" w:eastAsia="Times New Roman"/>
      <w:sz w:val="28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cs="Times New Roman" w:eastAsia="Times New Roman"/>
      <w:sz w:val="28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cs="Times New Roman" w:eastAsia="Times New Roman"/>
      <w:sz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 w:cs="Times New Roman" w:eastAsia="Times New Roman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 w:cs="Times New Roman" w:eastAsia="Times New Roman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 w:cs="Times New Roman" w:eastAsia="Times New Roman"/>
      <w:b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Times New Roman" w:hAnsi="Times New Roman" w:cs="Times New Roman" w:eastAsia="Times New Roman"/>
      <w:b/>
      <w:i/>
      <w:iCs/>
      <w:color w:themeColor="accent1" w:themeShade="BF" w:val="0F4761"/>
      <w:sz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Times New Roman" w:hAnsi="Times New Roman" w:cs="Times New Roman" w:eastAsia="Times New Roman"/>
      <w:b/>
      <w:color w:themeColor="accent1" w:themeShade="BF" w:val="0F4761"/>
      <w:sz w:val="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2026-06-10T12:22:54Z</dcterms:created>
  <dcterms:modified xsi:type="dcterms:W3CDTF">2026-06-10T12:22:54Z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