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第十課：認識禱告 - 重點整理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禱告的重要性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成功的秘訣：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像趙鏞基牧師一樣，禱告是成功的關鍵，適用於所有基督徒的各行各業。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門徒的榜樣：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門徒看到耶穌的能力，主動請求學習禱告，而非其他能力。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每日的需要：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禱告如同每日的飲食，是靈命健康的必需品。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如何面對焦慮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不要焦慮：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聖經教導我們不要焦慮，而是透過禱告來處理。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禱告的步驟：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停止 (Stop)：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停止焦慮的想法。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禱告、祈求、感謝：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將你所要的告訴神。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神的能力：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在神沒有難成的事，要相信祂的能力。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禱告的要素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祈求 (Petition)：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具體說出所求：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告訴神你所要的，不要怕開口。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按神的旨意求：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你的動機要出於愛神、愛人、愛自己。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信是得著的：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相信神會回應你的禱告。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不用害怕：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不要害怕惡者的攻擊，因為在你裡面的比世界的更大。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信心的成長：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信心如同芥菜種子，透過餵養會不斷成長。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感謝 (Thanksgiving)：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進入神的門：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先感謝祂，為祂已做的和將做的感謝。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讚美：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為神的全能、美好來讚美祂。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學習耶穌的榜樣：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耶穌也常在禱告中感謝天父。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禱告 (Prayer)：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真實的對象：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禱告的對象是聖經中的天父，而不是你想像的。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真實的情感：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禱告是真實的溝通，不是公式化的話語。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像聊天：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將你的心事、感受都告訴神。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包括所有：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包含生活大小事、情緒、擔憂等。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禱告的提醒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不要像假冒為善的人：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禱告不是為給人看，而是你與神之間的關係。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不要重複禱告：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重點不在於話多，而是真誠的心。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上帝早已知道：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上帝知道你需要什麼，你只要真實地向祂表達。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需要關係：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神要的是關係，不是只有求和感謝。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經歷神的應許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認識天父：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天父是有憐憫、有恩典、不輕易發怒，且有豐盛慈愛和誠實的神。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對象正確：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禱告對象正確，才能從神得著回應。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與神連結：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透過與神連結，經歷祂的能力。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藉著禱告建立與神真實的關係，活出祂的應許。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真實的經歷：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要真實的經歷神，而不僅僅是表面形式。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超乎所求所想：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當你與神關係越好，越能經歷祂超乎所求所想的祝福。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禱告的呼召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操練禱告：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鼓勵每天操練禱告，也參與禱告會。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建立關係：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與神建立真實的關係，因為關係比物質重要。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使用秘訣：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禱告是成功的秘訣，能夠讓你與神連結。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與神對話：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上帝想與你聊天，你也要回應祂。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敞開心：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將你一切的想法、感受都告訴神。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