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ind w:left="374" w:hanging="374"/>
        <w:jc w:val="both"/>
        <w:rPr>
          <w:b/>
          <w:color w:val="0000FF"/>
          <w:sz w:val="18"/>
          <w:szCs w:val="18"/>
        </w:rPr>
      </w:pPr>
      <w:r>
        <w:rPr>
          <w:b/>
          <w:sz w:val="20"/>
          <w:szCs w:val="20"/>
        </w:rPr>
        <w:t xml:space="preserve">Track </w:t>
      </w:r>
      <w:r>
        <w:rPr>
          <w:sz w:val="20"/>
          <w:szCs w:val="20"/>
        </w:rPr>
        <w:t>(</w:t>
      </w:r>
      <w:r>
        <w:rPr>
          <w:b/>
          <w:color w:val="0000FF"/>
          <w:sz w:val="20"/>
          <w:szCs w:val="20"/>
        </w:rPr>
        <w:t>AM/SM/AF/AI/BD/DM/HR/ID/MT/PR/SD/SE/EG/TD/TL/RD</w:t>
      </w:r>
      <w:r>
        <w:rPr>
          <w:b/>
          <w:color w:val="0000FF"/>
          <w:sz w:val="20"/>
          <w:szCs w:val="20"/>
        </w:rPr>
        <w:t>):</w:t>
      </w:r>
      <w:r>
        <w:rPr>
          <w:b/>
          <w:color w:val="0000FF"/>
          <w:sz w:val="18"/>
          <w:szCs w:val="18"/>
        </w:rPr>
        <w:t xml:space="preserve"> </w:t>
      </w:r>
      <w:r>
        <w:rPr>
          <w:b/>
          <w:color w:val="FF0000"/>
          <w:sz w:val="20"/>
          <w:szCs w:val="20"/>
        </w:rPr>
        <w:t>Insert appropriate track acronym here</w:t>
      </w:r>
      <w:r>
        <w:rPr>
          <w:b/>
          <w:color w:val="FF0000"/>
          <w:sz w:val="18"/>
          <w:szCs w:val="18"/>
        </w:rPr>
        <w:t xml:space="preserve">. </w:t>
      </w:r>
    </w:p>
    <w:p>
      <w:pPr>
        <w:pStyle w:val="Title"/>
        <w:jc w:val="right"/>
        <w:rPr>
          <w:i/>
          <w:sz w:val="20"/>
          <w:szCs w:val="20"/>
          <w:u w:val="single"/>
        </w:rPr>
      </w:pPr>
    </w:p>
    <w:p>
      <w:pPr>
        <w:pStyle w:val="Title"/>
        <w:spacing w:before="0"/>
        <w:rPr>
          <w:rFonts w:ascii="Times New Roman" w:hAnsi="Times New Roman" w:cs="Times New Roman"/>
          <w:b w:val="0"/>
          <w:sz w:val="20"/>
          <w:szCs w:val="20"/>
        </w:rPr>
      </w:pPr>
      <w:r>
        <w:rPr>
          <w:rFonts w:ascii="Times New Roman" w:hAnsi="Times New Roman" w:cs="Times New Roman"/>
        </w:rPr>
        <w:t xml:space="preserve">A Simple Analytical Model of Laser Bending Process </w:t>
      </w:r>
      <w:r>
        <w:rPr>
          <w:rFonts w:ascii="Times New Roman" w:hAnsi="Times New Roman" w:cs="Times New Roman"/>
          <w:b w:val="0"/>
          <w:sz w:val="20"/>
          <w:szCs w:val="20"/>
        </w:rPr>
        <w:t>{</w:t>
      </w:r>
      <w:r>
        <w:rPr>
          <w:rFonts w:ascii="Times New Roman" w:hAnsi="Times New Roman" w:cs="Times New Roman"/>
          <w:b w:val="0"/>
          <w:i/>
          <w:sz w:val="20"/>
          <w:szCs w:val="20"/>
        </w:rPr>
        <w:t>Times New Roman, 14 points</w:t>
      </w:r>
      <w:r>
        <w:rPr>
          <w:rFonts w:ascii="Times New Roman" w:hAnsi="Times New Roman" w:cs="Times New Roman"/>
          <w:b w:val="0"/>
          <w:sz w:val="20"/>
          <w:szCs w:val="20"/>
        </w:rPr>
        <w:t>}</w:t>
      </w:r>
    </w:p>
    <w:p>
      <w:pPr>
        <w:pStyle w:val="BodyText"/>
        <w:ind w:left="90"/>
        <w:jc w:val="center"/>
      </w:pPr>
      <w:r>
        <w:t xml:space="preserve">Author One </w:t>
      </w:r>
      <w:r>
        <w:rPr>
          <w:vertAlign w:val="superscript"/>
        </w:rPr>
        <w:t>1</w:t>
      </w:r>
      <w:r>
        <w:t>, Author Two</w:t>
      </w:r>
      <w:r>
        <w:rPr>
          <w:vertAlign w:val="superscript"/>
        </w:rPr>
        <w:t>1*</w:t>
      </w:r>
      <w:r>
        <w:t xml:space="preserve"> and Author Three</w:t>
      </w:r>
      <w:r>
        <w:rPr>
          <w:vertAlign w:val="superscript"/>
        </w:rPr>
        <w:t xml:space="preserve">2 </w:t>
      </w:r>
      <w:r>
        <w:rPr>
          <w:sz w:val="20"/>
          <w:szCs w:val="20"/>
        </w:rPr>
        <w:t>{</w:t>
      </w:r>
      <w:r>
        <w:rPr>
          <w:i/>
          <w:sz w:val="20"/>
          <w:szCs w:val="20"/>
        </w:rPr>
        <w:t>Times New Roman, 1</w:t>
      </w:r>
      <w:r>
        <w:rPr>
          <w:i/>
          <w:sz w:val="20"/>
          <w:szCs w:val="20"/>
        </w:rPr>
        <w:t>2</w:t>
      </w:r>
      <w:r>
        <w:rPr>
          <w:i/>
          <w:sz w:val="20"/>
          <w:szCs w:val="20"/>
        </w:rPr>
        <w:t xml:space="preserve"> points</w:t>
      </w:r>
      <w:r>
        <w:rPr>
          <w:sz w:val="20"/>
          <w:szCs w:val="20"/>
        </w:rPr>
        <w:t>}</w:t>
      </w:r>
    </w:p>
    <w:p>
      <w:pPr>
        <w:pStyle w:val="BodyText"/>
        <w:jc w:val="center"/>
      </w:pPr>
      <w:r>
        <w:rPr>
          <w:vertAlign w:val="superscript"/>
        </w:rPr>
        <w:t>1</w:t>
      </w:r>
      <w:r>
        <w:t xml:space="preserve">Department of [Name 1], Indian Institute of Technology Guwahati, Assam, India. </w:t>
      </w:r>
      <w:r>
        <w:rPr>
          <w:sz w:val="20"/>
          <w:szCs w:val="20"/>
        </w:rPr>
        <w:t>{</w:t>
      </w:r>
      <w:r>
        <w:rPr>
          <w:i/>
          <w:sz w:val="20"/>
          <w:szCs w:val="20"/>
        </w:rPr>
        <w:t>Times New Roman, 12 points</w:t>
      </w:r>
      <w:r>
        <w:rPr>
          <w:sz w:val="20"/>
          <w:szCs w:val="20"/>
        </w:rPr>
        <w:t>}</w:t>
      </w:r>
    </w:p>
    <w:p>
      <w:pPr>
        <w:pStyle w:val="BodyText"/>
        <w:jc w:val="center"/>
      </w:pPr>
      <w:r>
        <w:rPr>
          <w:vertAlign w:val="superscript"/>
        </w:rPr>
        <w:t>2</w:t>
      </w:r>
      <w:r>
        <w:t>Department of [Name</w:t>
      </w:r>
      <w:r>
        <w:t xml:space="preserve"> 2</w:t>
      </w:r>
      <w:r>
        <w:t xml:space="preserve">], </w:t>
      </w:r>
      <w:r>
        <w:t>Name of Institute</w:t>
      </w:r>
      <w:r>
        <w:t xml:space="preserve">, </w:t>
      </w:r>
      <w:r>
        <w:t xml:space="preserve">Location, India. </w:t>
      </w:r>
      <w:r>
        <w:rPr>
          <w:sz w:val="20"/>
          <w:szCs w:val="20"/>
        </w:rPr>
        <w:t>{</w:t>
      </w:r>
      <w:r>
        <w:rPr>
          <w:i/>
          <w:sz w:val="20"/>
          <w:szCs w:val="20"/>
        </w:rPr>
        <w:t>Times New Roman, 12 points</w:t>
      </w:r>
      <w:r>
        <w:rPr>
          <w:sz w:val="20"/>
          <w:szCs w:val="20"/>
        </w:rPr>
        <w:t>}</w:t>
      </w:r>
    </w:p>
    <w:p>
      <w:pPr>
        <w:pStyle w:val="BodyText"/>
        <w:jc w:val="center"/>
      </w:pPr>
      <w:r>
        <w:t xml:space="preserve">Email of all authors in sequence. </w:t>
      </w:r>
      <w:r>
        <w:rPr>
          <w:sz w:val="20"/>
          <w:szCs w:val="20"/>
        </w:rPr>
        <w:t>{</w:t>
      </w:r>
      <w:r>
        <w:rPr>
          <w:i/>
          <w:sz w:val="20"/>
          <w:szCs w:val="20"/>
        </w:rPr>
        <w:t>Times New Roman, 12 points</w:t>
      </w:r>
      <w:r>
        <w:rPr>
          <w:sz w:val="20"/>
          <w:szCs w:val="20"/>
        </w:rPr>
        <w:t>}</w:t>
      </w:r>
    </w:p>
    <w:p>
      <w:pPr>
        <w:pStyle w:val="BodyText"/>
        <w:jc w:val="center"/>
      </w:pPr>
      <w:r>
        <w:t xml:space="preserve">*Corresponding author, Email: </w:t>
      </w:r>
      <w:r>
        <w:rPr>
          <w:sz w:val="20"/>
          <w:szCs w:val="20"/>
        </w:rPr>
        <w:t>{</w:t>
      </w:r>
      <w:r>
        <w:rPr>
          <w:i/>
          <w:sz w:val="20"/>
          <w:szCs w:val="20"/>
        </w:rPr>
        <w:t>Times New Roman, 12 points</w:t>
      </w:r>
      <w:r>
        <w:rPr>
          <w:sz w:val="20"/>
          <w:szCs w:val="20"/>
        </w:rPr>
        <w:t>}</w:t>
      </w:r>
    </w:p>
    <w:p>
      <w:pPr>
        <w:pStyle w:val="BodyText"/>
        <w:ind w:left="239" w:right="238"/>
        <w:jc w:val="center"/>
      </w:pPr>
    </w:p>
    <w:p>
      <w:pPr>
        <w:pStyle w:val="BodyText"/>
        <w:spacing w:before="7"/>
        <w:rPr>
          <w:rFonts w:ascii="Arial"/>
          <w:sz w:val="25"/>
        </w:rPr>
      </w:pPr>
      <w:r>
        <w:rPr>
          <w:sz w:val="18"/>
          <w:szCs w:val="18"/>
        </w:rPr>
        <w:t>{</w:t>
      </w:r>
      <w:r>
        <w:rPr>
          <w:i/>
          <w:sz w:val="18"/>
          <w:szCs w:val="18"/>
        </w:rPr>
        <w:t xml:space="preserve">Times New Roman, </w:t>
      </w:r>
      <w:r>
        <w:rPr>
          <w:i/>
          <w:sz w:val="18"/>
          <w:szCs w:val="18"/>
        </w:rPr>
        <w:t>11</w:t>
      </w:r>
      <w:bookmarkStart w:id="0" w:name="_GoBack"/>
      <w:bookmarkEnd w:id="0"/>
      <w:r>
        <w:rPr>
          <w:i/>
          <w:sz w:val="18"/>
          <w:szCs w:val="18"/>
        </w:rPr>
        <w:t xml:space="preserve"> points</w:t>
      </w:r>
      <w:r>
        <w:rPr>
          <w:sz w:val="18"/>
          <w:szCs w:val="18"/>
        </w:rPr>
        <w:t>}</w:t>
      </w:r>
    </w:p>
    <w:p>
      <w:pPr>
        <w:pStyle w:val="BodyText"/>
        <w:spacing w:line="276" w:lineRule="auto"/>
        <w:ind w:right="215"/>
        <w:jc w:val="both"/>
        <w:rPr>
          <w:sz w:val="22"/>
          <w:szCs w:val="22"/>
        </w:rPr>
      </w:pPr>
      <w:r>
        <w:rPr>
          <w:sz w:val="22"/>
          <w:szCs w:val="22"/>
        </w:rPr>
        <w:t xml:space="preserve">Laser bending is a process of bending a sheet by the irradiation of laser beam on the surface of the sheet [1]. </w:t>
      </w:r>
      <w:r>
        <w:rPr>
          <w:spacing w:val="-3"/>
          <w:sz w:val="22"/>
          <w:szCs w:val="22"/>
        </w:rPr>
        <w:t xml:space="preserve">It </w:t>
      </w:r>
      <w:r>
        <w:rPr>
          <w:sz w:val="22"/>
          <w:szCs w:val="22"/>
        </w:rPr>
        <w:t>is a thermo-mechanical process which is suitable for rapid prototyping and deforming the low ductility materials. This process has several potential applications in aerospace, shipbuilding, microelectronics, automotive industries, etc. it is a rapid, flexible and low-cost metal forming process that can improve the competitiveness of these industries. This process also offers a great flexibility as a lot of other applications (such as soldering, brazing and hardening) can be performed by means of the same apparatus. Several theoretical and experimental papers have been published in this area with more research focused on straight line bending by laser beam. The ultimate goal of these works is to understand the physics of the process and to produce various models for the prediction of bend angle. A brief review of these works, as well as, the different methods used for the analysis is presented in the paper. Based on these, in the present paper, a finite element analysis is carried out using ABAQUS package to predict the temperature distribution and the bending angle of a specific steel sheet material, and the results compared with a simple analytical model developed by the authors. It is ascertained from the experimental results available in the literature that the proposed theoretical model provides reasonably good prediction of the bend angle. It is also shown that the developed model can be used for the quick estimation of yield stress of the material during laser bending</w:t>
      </w:r>
      <w:r>
        <w:rPr>
          <w:spacing w:val="-17"/>
          <w:sz w:val="22"/>
          <w:szCs w:val="22"/>
        </w:rPr>
        <w:t xml:space="preserve"> </w:t>
      </w:r>
      <w:r>
        <w:rPr>
          <w:sz w:val="22"/>
          <w:szCs w:val="22"/>
        </w:rPr>
        <w:t>process.</w:t>
      </w:r>
    </w:p>
    <w:p>
      <w:pPr>
        <w:pStyle w:val="BodyText"/>
        <w:spacing w:line="276" w:lineRule="auto"/>
        <w:ind w:right="215" w:firstLine="580"/>
        <w:jc w:val="both"/>
        <w:rPr>
          <w:sz w:val="22"/>
          <w:szCs w:val="22"/>
        </w:rPr>
      </w:pPr>
      <w:r>
        <w:rPr>
          <w:sz w:val="22"/>
          <w:szCs w:val="22"/>
        </w:rPr>
        <w:t>The results from the ABAQUS simulation and the theoretical models show that</w:t>
      </w:r>
    </w:p>
    <w:p>
      <w:pPr>
        <w:pStyle w:val="ListParagraph"/>
        <w:numPr>
          <w:ilvl w:val="0"/>
          <w:numId w:val="1"/>
        </w:numPr>
        <w:tabs>
          <w:tab w:val="left" w:pos="941"/>
        </w:tabs>
        <w:spacing w:before="0" w:line="276" w:lineRule="auto"/>
      </w:pPr>
      <w:r>
        <w:t>The bend angle decreases as the yield stress of the plate material increases beyond the critical value of maximum thermal stress resulting from the heat source from the laser beam. This is to be expected as the plastic deformation through the thickness for harder materials</w:t>
      </w:r>
      <w:r>
        <w:rPr>
          <w:spacing w:val="-1"/>
        </w:rPr>
        <w:t xml:space="preserve"> </w:t>
      </w:r>
      <w:r>
        <w:t>decreases,</w:t>
      </w:r>
    </w:p>
    <w:p>
      <w:pPr>
        <w:pStyle w:val="ListParagraph"/>
        <w:numPr>
          <w:ilvl w:val="0"/>
          <w:numId w:val="1"/>
        </w:numPr>
        <w:tabs>
          <w:tab w:val="left" w:pos="941"/>
        </w:tabs>
        <w:spacing w:before="0" w:line="276" w:lineRule="auto"/>
        <w:ind w:right="220"/>
      </w:pPr>
      <w:r>
        <w:t>The ABAQUS results presented in Figure 1 show that there is a time lag between the peak</w:t>
      </w:r>
      <w:r>
        <w:rPr>
          <w:spacing w:val="17"/>
        </w:rPr>
        <w:t xml:space="preserve"> </w:t>
      </w:r>
      <w:r>
        <w:t>temperatures</w:t>
      </w:r>
      <w:r>
        <w:rPr>
          <w:spacing w:val="18"/>
        </w:rPr>
        <w:t xml:space="preserve"> </w:t>
      </w:r>
      <w:r>
        <w:t>at</w:t>
      </w:r>
      <w:r>
        <w:rPr>
          <w:spacing w:val="18"/>
        </w:rPr>
        <w:t xml:space="preserve"> </w:t>
      </w:r>
      <w:r>
        <w:t>the</w:t>
      </w:r>
      <w:r>
        <w:rPr>
          <w:spacing w:val="19"/>
        </w:rPr>
        <w:t xml:space="preserve"> </w:t>
      </w:r>
      <w:r>
        <w:t>top</w:t>
      </w:r>
      <w:r>
        <w:rPr>
          <w:spacing w:val="18"/>
        </w:rPr>
        <w:t xml:space="preserve"> </w:t>
      </w:r>
      <w:r>
        <w:t>and</w:t>
      </w:r>
      <w:r>
        <w:rPr>
          <w:spacing w:val="17"/>
        </w:rPr>
        <w:t xml:space="preserve"> </w:t>
      </w:r>
      <w:r>
        <w:t>the</w:t>
      </w:r>
      <w:r>
        <w:rPr>
          <w:spacing w:val="17"/>
        </w:rPr>
        <w:t xml:space="preserve"> </w:t>
      </w:r>
      <w:r>
        <w:t>bottom</w:t>
      </w:r>
      <w:r>
        <w:rPr>
          <w:spacing w:val="18"/>
        </w:rPr>
        <w:t xml:space="preserve"> </w:t>
      </w:r>
      <w:r>
        <w:t>of</w:t>
      </w:r>
      <w:r>
        <w:rPr>
          <w:spacing w:val="17"/>
        </w:rPr>
        <w:t xml:space="preserve"> </w:t>
      </w:r>
      <w:r>
        <w:t>the</w:t>
      </w:r>
      <w:r>
        <w:rPr>
          <w:spacing w:val="17"/>
        </w:rPr>
        <w:t xml:space="preserve"> </w:t>
      </w:r>
      <w:r>
        <w:t>plate</w:t>
      </w:r>
      <w:r>
        <w:rPr>
          <w:spacing w:val="21"/>
        </w:rPr>
        <w:t xml:space="preserve"> </w:t>
      </w:r>
      <w:r>
        <w:t>(of</w:t>
      </w:r>
      <w:r>
        <w:rPr>
          <w:spacing w:val="16"/>
        </w:rPr>
        <w:t xml:space="preserve"> </w:t>
      </w:r>
      <w:r>
        <w:t>around</w:t>
      </w:r>
      <w:r>
        <w:rPr>
          <w:spacing w:val="17"/>
        </w:rPr>
        <w:t xml:space="preserve"> </w:t>
      </w:r>
      <w:r>
        <w:t>165</w:t>
      </w:r>
      <w:r>
        <w:rPr>
          <w:spacing w:val="21"/>
        </w:rPr>
        <w:t xml:space="preserve"> </w:t>
      </w:r>
      <w:r>
        <w:rPr>
          <w:vertAlign w:val="superscript"/>
        </w:rPr>
        <w:t>o</w:t>
      </w:r>
      <w:r>
        <w:t>C</w:t>
      </w:r>
      <w:r>
        <w:rPr>
          <w:spacing w:val="18"/>
        </w:rPr>
        <w:t xml:space="preserve"> </w:t>
      </w:r>
      <w:r>
        <w:t>and</w:t>
      </w:r>
      <w:r>
        <w:rPr>
          <w:spacing w:val="17"/>
        </w:rPr>
        <w:t xml:space="preserve"> </w:t>
      </w:r>
      <w:r>
        <w:t>115</w:t>
      </w:r>
      <w:r>
        <w:rPr>
          <w:spacing w:val="19"/>
        </w:rPr>
        <w:t xml:space="preserve"> </w:t>
      </w:r>
      <w:r>
        <w:rPr>
          <w:vertAlign w:val="superscript"/>
        </w:rPr>
        <w:t>o</w:t>
      </w:r>
      <w:r>
        <w:t>C, respectively), and the maximum bend angle (at around 13 sec). This time lag is around 10 seconds,</w:t>
      </w:r>
    </w:p>
    <w:p>
      <w:pPr>
        <w:pStyle w:val="ListParagraph"/>
        <w:numPr>
          <w:ilvl w:val="0"/>
          <w:numId w:val="1"/>
        </w:numPr>
        <w:tabs>
          <w:tab w:val="left" w:pos="941"/>
        </w:tabs>
        <w:spacing w:before="0" w:line="276" w:lineRule="auto"/>
        <w:ind w:right="0" w:hanging="361"/>
      </w:pPr>
      <w:r>
        <w:t>The temperature curve shows an exponential decay with time,</w:t>
      </w:r>
      <w:r>
        <w:rPr>
          <w:spacing w:val="-7"/>
        </w:rPr>
        <w:t xml:space="preserve"> </w:t>
      </w:r>
      <w:r>
        <w:t>and</w:t>
      </w:r>
    </w:p>
    <w:p>
      <w:pPr>
        <w:pStyle w:val="ListParagraph"/>
        <w:numPr>
          <w:ilvl w:val="0"/>
          <w:numId w:val="1"/>
        </w:numPr>
        <w:tabs>
          <w:tab w:val="left" w:pos="941"/>
        </w:tabs>
        <w:spacing w:before="0" w:line="276" w:lineRule="auto"/>
      </w:pPr>
      <w:r>
        <w:t>Bend angle results presented in Table 1 show a comparison between the theoretical model developed in the present work with some of the already published experimental results. A good agreement between the two models can be</w:t>
      </w:r>
      <w:r>
        <w:rPr>
          <w:spacing w:val="2"/>
        </w:rPr>
        <w:t xml:space="preserve"> </w:t>
      </w:r>
      <w:r>
        <w:t>observed.</w:t>
      </w:r>
    </w:p>
    <w:p>
      <w:pPr>
        <w:pStyle w:val="BodyText"/>
        <w:spacing w:line="276" w:lineRule="auto"/>
        <w:ind w:firstLine="242"/>
        <w:jc w:val="both"/>
        <w:rPr>
          <w:sz w:val="22"/>
          <w:szCs w:val="22"/>
        </w:rPr>
      </w:pPr>
      <w:r>
        <w:rPr>
          <w:sz w:val="22"/>
          <w:szCs w:val="22"/>
        </w:rPr>
        <w:t xml:space="preserve">More results will be presented in the full length paper. </w:t>
      </w:r>
    </w:p>
    <w:p>
      <w:pPr>
        <w:spacing w:line="276" w:lineRule="auto"/>
        <w:rPr>
          <w:sz w:val="18"/>
          <w:szCs w:val="18"/>
        </w:rPr>
      </w:pPr>
      <w:r>
        <w:rPr>
          <w:b/>
        </w:rPr>
        <w:t>References</w:t>
      </w:r>
      <w:r>
        <w:rPr>
          <w:b/>
        </w:rPr>
        <w:t xml:space="preserve"> </w:t>
      </w:r>
      <w:r>
        <w:rPr>
          <w:sz w:val="18"/>
          <w:szCs w:val="18"/>
        </w:rPr>
        <w:t>{</w:t>
      </w:r>
      <w:r>
        <w:rPr>
          <w:i/>
          <w:sz w:val="18"/>
          <w:szCs w:val="18"/>
        </w:rPr>
        <w:t>Times New Roman, 9 points</w:t>
      </w:r>
      <w:r>
        <w:rPr>
          <w:sz w:val="18"/>
          <w:szCs w:val="18"/>
        </w:rPr>
        <w:t>}</w:t>
      </w:r>
    </w:p>
    <w:p>
      <w:pPr>
        <w:tabs>
          <w:tab w:val="left" w:pos="1110"/>
        </w:tabs>
        <w:ind w:left="270" w:hanging="270"/>
        <w:rPr>
          <w:rFonts w:eastAsiaTheme="minorEastAsia"/>
          <w:sz w:val="18"/>
          <w:szCs w:val="18"/>
        </w:rPr>
      </w:pPr>
      <w:r>
        <w:rPr>
          <w:rFonts w:eastAsiaTheme="minorEastAsia"/>
          <w:sz w:val="18"/>
          <w:szCs w:val="18"/>
        </w:rPr>
        <w:t xml:space="preserve">Dixit, U.S., Joshi, S.N. and Kumar, V.H. (2012), Micro-bending with laser, in </w:t>
      </w:r>
      <w:r>
        <w:rPr>
          <w:rFonts w:eastAsiaTheme="minorEastAsia"/>
          <w:i/>
          <w:sz w:val="18"/>
          <w:szCs w:val="18"/>
        </w:rPr>
        <w:t>Micromanufacturing Processes</w:t>
      </w:r>
      <w:r>
        <w:rPr>
          <w:rFonts w:eastAsiaTheme="minorEastAsia"/>
          <w:sz w:val="18"/>
          <w:szCs w:val="18"/>
        </w:rPr>
        <w:t>, edited by V.K.Jain, CRC Press, Boca Raton, Florida.</w:t>
      </w:r>
    </w:p>
    <w:p>
      <w:pPr>
        <w:ind w:left="374" w:hanging="374"/>
        <w:jc w:val="both"/>
        <w:rPr>
          <w:sz w:val="18"/>
          <w:szCs w:val="18"/>
        </w:rPr>
      </w:pPr>
      <w:r>
        <w:rPr>
          <w:rFonts w:eastAsiaTheme="minorEastAsia"/>
          <w:sz w:val="18"/>
          <w:szCs w:val="18"/>
        </w:rPr>
        <w:t xml:space="preserve"> Mishra,  A. and Dixit, U.S. (2013), Determination of thermal diffusivity of the material, absorptivity of the material and laser beam radius during laser forming by inverse heat transfer, Journal of Machining and Forming Technology, Vol. 5, pp. 208</w:t>
      </w:r>
      <w:r>
        <w:rPr>
          <w:rFonts w:eastAsiaTheme="minorEastAsia"/>
          <w:sz w:val="18"/>
          <w:szCs w:val="18"/>
        </w:rPr>
        <w:sym w:font="Symbol" w:char="F02D"/>
      </w:r>
      <w:r>
        <w:rPr>
          <w:rFonts w:eastAsiaTheme="minorEastAsia"/>
          <w:sz w:val="18"/>
          <w:szCs w:val="18"/>
        </w:rPr>
        <w:t>226.</w:t>
      </w:r>
      <w:r>
        <w:rPr>
          <w:sz w:val="18"/>
          <w:szCs w:val="18"/>
        </w:rPr>
        <w:t xml:space="preserve"> </w:t>
      </w:r>
    </w:p>
    <w:p>
      <w:pPr>
        <w:ind w:left="374" w:hanging="374"/>
        <w:jc w:val="both"/>
        <w:rPr>
          <w:bCs/>
          <w:sz w:val="18"/>
          <w:szCs w:val="18"/>
        </w:rPr>
      </w:pPr>
      <w:r>
        <w:rPr>
          <w:sz w:val="18"/>
          <w:szCs w:val="18"/>
        </w:rPr>
        <w:t xml:space="preserve">Eideh, A. and Dixit, U.S. (2013), </w:t>
      </w:r>
      <w:r>
        <w:rPr>
          <w:bCs/>
          <w:sz w:val="18"/>
          <w:szCs w:val="18"/>
        </w:rPr>
        <w:t xml:space="preserve">A Robust and Efficient Inverse Method for Determining the Thermal Parameters during Laser Forming, </w:t>
      </w:r>
      <w:r>
        <w:rPr>
          <w:bCs/>
          <w:i/>
          <w:iCs/>
          <w:sz w:val="18"/>
          <w:szCs w:val="18"/>
        </w:rPr>
        <w:t>In: Proceedings of the National Conference NCRAME 2013</w:t>
      </w:r>
      <w:r>
        <w:rPr>
          <w:bCs/>
          <w:sz w:val="18"/>
          <w:szCs w:val="18"/>
        </w:rPr>
        <w:t xml:space="preserve"> held at NERIST, Nirjuli, November 8-9, 2013.  </w:t>
      </w:r>
    </w:p>
    <w:p>
      <w:pPr>
        <w:pStyle w:val="BodyText"/>
        <w:spacing w:line="276" w:lineRule="auto"/>
        <w:jc w:val="both"/>
        <w:rPr>
          <w:color w:val="FF0000"/>
          <w:sz w:val="22"/>
          <w:szCs w:val="22"/>
        </w:rPr>
      </w:pPr>
      <w:r>
        <w:rPr>
          <w:color w:val="FF0000"/>
          <w:sz w:val="22"/>
          <w:szCs w:val="22"/>
        </w:rPr>
        <w:t xml:space="preserve">Note to authors: This is only a sample abstract. Use your own judgement to bring the content in maximum two pages. Figures and tables can be inserted just after the text; they can continue even from the first page. </w:t>
      </w:r>
    </w:p>
    <w:p>
      <w:pPr>
        <w:pStyle w:val="BodyText"/>
        <w:spacing w:line="276" w:lineRule="auto"/>
        <w:rPr>
          <w:sz w:val="22"/>
          <w:szCs w:val="22"/>
        </w:rPr>
      </w:pPr>
    </w:p>
    <w:p>
      <w:pPr>
        <w:pStyle w:val="BodyText"/>
        <w:spacing w:line="276" w:lineRule="auto"/>
        <w:rPr>
          <w:sz w:val="22"/>
          <w:szCs w:val="22"/>
        </w:rPr>
      </w:pPr>
      <w:r>
        <w:rPr>
          <w:noProof/>
          <w:sz w:val="22"/>
          <w:szCs w:val="22"/>
        </w:rPr>
        <w:drawing>
          <wp:anchor distT="0" distB="0" distL="0" distR="0" simplePos="0" relativeHeight="251659776" behindDoc="0" locked="0" layoutInCell="1" allowOverlap="1">
            <wp:simplePos x="0" y="0"/>
            <wp:positionH relativeFrom="page">
              <wp:posOffset>2164715</wp:posOffset>
            </wp:positionH>
            <wp:positionV relativeFrom="paragraph">
              <wp:posOffset>153670</wp:posOffset>
            </wp:positionV>
            <wp:extent cx="3557905" cy="2407285"/>
            <wp:effectExtent l="0" t="0" r="444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57905" cy="2407285"/>
                    </a:xfrm>
                    <a:prstGeom prst="rect">
                      <a:avLst/>
                    </a:prstGeom>
                  </pic:spPr>
                </pic:pic>
              </a:graphicData>
            </a:graphic>
            <wp14:sizeRelH relativeFrom="margin">
              <wp14:pctWidth>0</wp14:pctWidth>
            </wp14:sizeRelH>
            <wp14:sizeRelV relativeFrom="margin">
              <wp14:pctHeight>0</wp14:pctHeight>
            </wp14:sizeRelV>
          </wp:anchor>
        </w:drawing>
      </w:r>
    </w:p>
    <w:p>
      <w:pPr>
        <w:pStyle w:val="Heading1"/>
        <w:spacing w:line="276" w:lineRule="auto"/>
        <w:ind w:left="242"/>
        <w:rPr>
          <w:b w:val="0"/>
          <w:sz w:val="22"/>
          <w:szCs w:val="22"/>
        </w:rPr>
      </w:pPr>
      <w:r>
        <w:rPr>
          <w:sz w:val="22"/>
          <w:szCs w:val="22"/>
        </w:rPr>
        <w:t xml:space="preserve">Figure 1 </w:t>
      </w:r>
      <w:r>
        <w:rPr>
          <w:b w:val="0"/>
          <w:sz w:val="22"/>
          <w:szCs w:val="22"/>
        </w:rPr>
        <w:t>Variation of top and bottom temperatures, and the bend angle during heating and cooling phases</w:t>
      </w:r>
    </w:p>
    <w:p>
      <w:pPr>
        <w:pStyle w:val="BodyText"/>
        <w:spacing w:line="276" w:lineRule="auto"/>
        <w:rPr>
          <w:b/>
          <w:sz w:val="22"/>
          <w:szCs w:val="22"/>
        </w:rPr>
      </w:pPr>
    </w:p>
    <w:p>
      <w:pPr>
        <w:spacing w:line="276" w:lineRule="auto"/>
        <w:ind w:left="240" w:right="238"/>
      </w:pPr>
      <w:r>
        <w:rPr>
          <w:b/>
        </w:rPr>
        <w:t xml:space="preserve">Table 1 </w:t>
      </w:r>
      <w:r>
        <w:t>Comparison between present model and experimental results [2, 3]</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6"/>
        <w:gridCol w:w="1916"/>
        <w:gridCol w:w="1916"/>
        <w:gridCol w:w="1916"/>
        <w:gridCol w:w="1917"/>
      </w:tblGrid>
      <w:tr>
        <w:trPr>
          <w:trHeight w:val="313"/>
        </w:trPr>
        <w:tc>
          <w:tcPr>
            <w:tcW w:w="1916" w:type="dxa"/>
          </w:tcPr>
          <w:p>
            <w:pPr>
              <w:pStyle w:val="TableParagraph"/>
              <w:spacing w:before="0" w:line="276" w:lineRule="auto"/>
              <w:ind w:right="88"/>
              <w:rPr>
                <w:b/>
              </w:rPr>
            </w:pPr>
            <w:r>
              <w:rPr>
                <w:b/>
              </w:rPr>
              <w:t>Power (W)</w:t>
            </w:r>
          </w:p>
        </w:tc>
        <w:tc>
          <w:tcPr>
            <w:tcW w:w="1916" w:type="dxa"/>
          </w:tcPr>
          <w:p>
            <w:pPr>
              <w:pStyle w:val="TableParagraph"/>
              <w:spacing w:before="0" w:line="276" w:lineRule="auto"/>
              <w:ind w:right="87"/>
              <w:rPr>
                <w:b/>
              </w:rPr>
            </w:pPr>
            <w:r>
              <w:rPr>
                <w:b/>
              </w:rPr>
              <w:t>Scan velocity</w:t>
            </w:r>
          </w:p>
        </w:tc>
        <w:tc>
          <w:tcPr>
            <w:tcW w:w="1916" w:type="dxa"/>
          </w:tcPr>
          <w:p>
            <w:pPr>
              <w:pStyle w:val="TableParagraph"/>
              <w:spacing w:before="0" w:line="276" w:lineRule="auto"/>
              <w:ind w:right="89"/>
              <w:rPr>
                <w:b/>
              </w:rPr>
            </w:pPr>
            <w:r>
              <w:rPr>
                <w:b/>
              </w:rPr>
              <w:t>Expt. bend ang.</w:t>
            </w:r>
          </w:p>
        </w:tc>
        <w:tc>
          <w:tcPr>
            <w:tcW w:w="1916" w:type="dxa"/>
          </w:tcPr>
          <w:p>
            <w:pPr>
              <w:pStyle w:val="TableParagraph"/>
              <w:spacing w:before="0" w:line="276" w:lineRule="auto"/>
              <w:rPr>
                <w:b/>
              </w:rPr>
            </w:pPr>
            <w:r>
              <w:rPr>
                <w:b/>
              </w:rPr>
              <w:t>Prsnt. bend ang.</w:t>
            </w:r>
          </w:p>
        </w:tc>
        <w:tc>
          <w:tcPr>
            <w:tcW w:w="1917" w:type="dxa"/>
          </w:tcPr>
          <w:p>
            <w:pPr>
              <w:pStyle w:val="TableParagraph"/>
              <w:spacing w:before="0" w:line="276" w:lineRule="auto"/>
              <w:ind w:left="292" w:right="287"/>
              <w:rPr>
                <w:b/>
              </w:rPr>
            </w:pPr>
            <w:r>
              <w:rPr>
                <w:b/>
              </w:rPr>
              <w:t>% Deviation</w:t>
            </w:r>
          </w:p>
        </w:tc>
      </w:tr>
      <w:tr>
        <w:trPr>
          <w:trHeight w:val="314"/>
        </w:trPr>
        <w:tc>
          <w:tcPr>
            <w:tcW w:w="1916" w:type="dxa"/>
          </w:tcPr>
          <w:p>
            <w:pPr>
              <w:pStyle w:val="TableParagraph"/>
              <w:spacing w:before="0" w:line="276" w:lineRule="auto"/>
              <w:ind w:right="88"/>
            </w:pPr>
            <w:r>
              <w:t xml:space="preserve">800 </w:t>
            </w:r>
          </w:p>
        </w:tc>
        <w:tc>
          <w:tcPr>
            <w:tcW w:w="1916" w:type="dxa"/>
          </w:tcPr>
          <w:p>
            <w:pPr>
              <w:pStyle w:val="TableParagraph"/>
              <w:spacing w:before="0" w:line="276" w:lineRule="auto"/>
              <w:ind w:right="87"/>
            </w:pPr>
            <w:r>
              <w:t>40</w:t>
            </w:r>
          </w:p>
        </w:tc>
        <w:tc>
          <w:tcPr>
            <w:tcW w:w="1916" w:type="dxa"/>
          </w:tcPr>
          <w:p>
            <w:pPr>
              <w:pStyle w:val="TableParagraph"/>
              <w:spacing w:before="0" w:line="276" w:lineRule="auto"/>
            </w:pPr>
            <w:r>
              <w:t>0.41</w:t>
            </w:r>
          </w:p>
        </w:tc>
        <w:tc>
          <w:tcPr>
            <w:tcW w:w="1916" w:type="dxa"/>
          </w:tcPr>
          <w:p>
            <w:pPr>
              <w:pStyle w:val="TableParagraph"/>
              <w:spacing w:before="0" w:line="276" w:lineRule="auto"/>
              <w:ind w:left="94"/>
            </w:pPr>
            <w:r>
              <w:t>0.463</w:t>
            </w:r>
          </w:p>
        </w:tc>
        <w:tc>
          <w:tcPr>
            <w:tcW w:w="1917" w:type="dxa"/>
          </w:tcPr>
          <w:p>
            <w:pPr>
              <w:pStyle w:val="TableParagraph"/>
              <w:spacing w:before="0" w:line="276" w:lineRule="auto"/>
              <w:ind w:left="290" w:right="287"/>
            </w:pPr>
            <w:r>
              <w:t>12.93</w:t>
            </w:r>
          </w:p>
        </w:tc>
      </w:tr>
      <w:tr>
        <w:trPr>
          <w:trHeight w:val="313"/>
        </w:trPr>
        <w:tc>
          <w:tcPr>
            <w:tcW w:w="1916" w:type="dxa"/>
          </w:tcPr>
          <w:p>
            <w:pPr>
              <w:pStyle w:val="TableParagraph"/>
              <w:spacing w:before="0" w:line="276" w:lineRule="auto"/>
              <w:ind w:right="88"/>
            </w:pPr>
            <w:r>
              <w:t xml:space="preserve">1000 </w:t>
            </w:r>
          </w:p>
        </w:tc>
        <w:tc>
          <w:tcPr>
            <w:tcW w:w="1916" w:type="dxa"/>
          </w:tcPr>
          <w:p>
            <w:pPr>
              <w:pStyle w:val="TableParagraph"/>
              <w:spacing w:before="0" w:line="276" w:lineRule="auto"/>
              <w:ind w:right="87"/>
            </w:pPr>
            <w:r>
              <w:t>50</w:t>
            </w:r>
          </w:p>
        </w:tc>
        <w:tc>
          <w:tcPr>
            <w:tcW w:w="1916" w:type="dxa"/>
          </w:tcPr>
          <w:p>
            <w:pPr>
              <w:pStyle w:val="TableParagraph"/>
              <w:spacing w:before="0" w:line="276" w:lineRule="auto"/>
            </w:pPr>
            <w:r>
              <w:t>0.47</w:t>
            </w:r>
          </w:p>
        </w:tc>
        <w:tc>
          <w:tcPr>
            <w:tcW w:w="1916" w:type="dxa"/>
          </w:tcPr>
          <w:p>
            <w:pPr>
              <w:pStyle w:val="TableParagraph"/>
              <w:spacing w:before="0" w:line="276" w:lineRule="auto"/>
              <w:ind w:left="94"/>
            </w:pPr>
            <w:r>
              <w:t>0.542</w:t>
            </w:r>
          </w:p>
        </w:tc>
        <w:tc>
          <w:tcPr>
            <w:tcW w:w="1917" w:type="dxa"/>
          </w:tcPr>
          <w:p>
            <w:pPr>
              <w:pStyle w:val="TableParagraph"/>
              <w:spacing w:before="0" w:line="276" w:lineRule="auto"/>
              <w:ind w:left="290" w:right="287"/>
            </w:pPr>
            <w:r>
              <w:t>15.32</w:t>
            </w:r>
          </w:p>
        </w:tc>
      </w:tr>
      <w:tr>
        <w:trPr>
          <w:trHeight w:val="314"/>
        </w:trPr>
        <w:tc>
          <w:tcPr>
            <w:tcW w:w="1916" w:type="dxa"/>
          </w:tcPr>
          <w:p>
            <w:pPr>
              <w:pStyle w:val="TableParagraph"/>
              <w:spacing w:before="0" w:line="276" w:lineRule="auto"/>
              <w:ind w:right="88"/>
            </w:pPr>
            <w:r>
              <w:t xml:space="preserve">1300 </w:t>
            </w:r>
          </w:p>
        </w:tc>
        <w:tc>
          <w:tcPr>
            <w:tcW w:w="1916" w:type="dxa"/>
          </w:tcPr>
          <w:p>
            <w:pPr>
              <w:pStyle w:val="TableParagraph"/>
              <w:spacing w:before="0" w:line="276" w:lineRule="auto"/>
              <w:ind w:right="87"/>
            </w:pPr>
            <w:r>
              <w:t>65</w:t>
            </w:r>
          </w:p>
        </w:tc>
        <w:tc>
          <w:tcPr>
            <w:tcW w:w="1916" w:type="dxa"/>
          </w:tcPr>
          <w:p>
            <w:pPr>
              <w:pStyle w:val="TableParagraph"/>
              <w:spacing w:before="0" w:line="276" w:lineRule="auto"/>
            </w:pPr>
            <w:r>
              <w:t>0.49</w:t>
            </w:r>
          </w:p>
        </w:tc>
        <w:tc>
          <w:tcPr>
            <w:tcW w:w="1916" w:type="dxa"/>
          </w:tcPr>
          <w:p>
            <w:pPr>
              <w:pStyle w:val="TableParagraph"/>
              <w:spacing w:before="0" w:line="276" w:lineRule="auto"/>
              <w:ind w:left="94"/>
            </w:pPr>
            <w:r>
              <w:t>0.58</w:t>
            </w:r>
          </w:p>
        </w:tc>
        <w:tc>
          <w:tcPr>
            <w:tcW w:w="1917" w:type="dxa"/>
          </w:tcPr>
          <w:p>
            <w:pPr>
              <w:pStyle w:val="TableParagraph"/>
              <w:spacing w:before="0" w:line="276" w:lineRule="auto"/>
              <w:ind w:left="290" w:right="287"/>
            </w:pPr>
            <w:r>
              <w:t>18.37</w:t>
            </w:r>
          </w:p>
        </w:tc>
      </w:tr>
      <w:tr>
        <w:trPr>
          <w:trHeight w:val="314"/>
        </w:trPr>
        <w:tc>
          <w:tcPr>
            <w:tcW w:w="1916" w:type="dxa"/>
          </w:tcPr>
          <w:p>
            <w:pPr>
              <w:pStyle w:val="TableParagraph"/>
              <w:spacing w:before="0" w:line="276" w:lineRule="auto"/>
              <w:ind w:right="87"/>
            </w:pPr>
            <w:r>
              <w:t xml:space="preserve">550 </w:t>
            </w:r>
          </w:p>
        </w:tc>
        <w:tc>
          <w:tcPr>
            <w:tcW w:w="1916" w:type="dxa"/>
          </w:tcPr>
          <w:p>
            <w:pPr>
              <w:pStyle w:val="TableParagraph"/>
              <w:spacing w:before="0" w:line="276" w:lineRule="auto"/>
              <w:ind w:right="87"/>
            </w:pPr>
            <w:r>
              <w:t>15</w:t>
            </w:r>
          </w:p>
        </w:tc>
        <w:tc>
          <w:tcPr>
            <w:tcW w:w="1916" w:type="dxa"/>
          </w:tcPr>
          <w:p>
            <w:pPr>
              <w:pStyle w:val="TableParagraph"/>
              <w:spacing w:before="0" w:line="276" w:lineRule="auto"/>
            </w:pPr>
            <w:r>
              <w:t>1.54</w:t>
            </w:r>
          </w:p>
        </w:tc>
        <w:tc>
          <w:tcPr>
            <w:tcW w:w="1916" w:type="dxa"/>
          </w:tcPr>
          <w:p>
            <w:pPr>
              <w:pStyle w:val="TableParagraph"/>
              <w:spacing w:before="0" w:line="276" w:lineRule="auto"/>
              <w:ind w:left="94"/>
            </w:pPr>
            <w:r>
              <w:t>1.72</w:t>
            </w:r>
          </w:p>
        </w:tc>
        <w:tc>
          <w:tcPr>
            <w:tcW w:w="1917" w:type="dxa"/>
          </w:tcPr>
          <w:p>
            <w:pPr>
              <w:pStyle w:val="TableParagraph"/>
              <w:spacing w:before="0" w:line="276" w:lineRule="auto"/>
              <w:ind w:left="290" w:right="287"/>
            </w:pPr>
            <w:r>
              <w:t>11.68</w:t>
            </w:r>
          </w:p>
        </w:tc>
      </w:tr>
      <w:tr>
        <w:trPr>
          <w:trHeight w:val="313"/>
        </w:trPr>
        <w:tc>
          <w:tcPr>
            <w:tcW w:w="1916" w:type="dxa"/>
          </w:tcPr>
          <w:p>
            <w:pPr>
              <w:pStyle w:val="TableParagraph"/>
              <w:spacing w:before="0" w:line="276" w:lineRule="auto"/>
              <w:ind w:right="87"/>
            </w:pPr>
            <w:r>
              <w:t xml:space="preserve">550 </w:t>
            </w:r>
          </w:p>
        </w:tc>
        <w:tc>
          <w:tcPr>
            <w:tcW w:w="1916" w:type="dxa"/>
          </w:tcPr>
          <w:p>
            <w:pPr>
              <w:pStyle w:val="TableParagraph"/>
              <w:spacing w:before="0" w:line="276" w:lineRule="auto"/>
              <w:ind w:right="87"/>
            </w:pPr>
            <w:r>
              <w:t>30</w:t>
            </w:r>
          </w:p>
        </w:tc>
        <w:tc>
          <w:tcPr>
            <w:tcW w:w="1916" w:type="dxa"/>
          </w:tcPr>
          <w:p>
            <w:pPr>
              <w:pStyle w:val="TableParagraph"/>
              <w:spacing w:before="0" w:line="276" w:lineRule="auto"/>
            </w:pPr>
            <w:r>
              <w:t>0.94</w:t>
            </w:r>
          </w:p>
        </w:tc>
        <w:tc>
          <w:tcPr>
            <w:tcW w:w="1916" w:type="dxa"/>
          </w:tcPr>
          <w:p>
            <w:pPr>
              <w:pStyle w:val="TableParagraph"/>
              <w:spacing w:before="0" w:line="276" w:lineRule="auto"/>
              <w:ind w:left="94"/>
            </w:pPr>
            <w:r>
              <w:t>1.02</w:t>
            </w:r>
          </w:p>
        </w:tc>
        <w:tc>
          <w:tcPr>
            <w:tcW w:w="1917" w:type="dxa"/>
          </w:tcPr>
          <w:p>
            <w:pPr>
              <w:pStyle w:val="TableParagraph"/>
              <w:spacing w:before="0" w:line="276" w:lineRule="auto"/>
              <w:ind w:left="290" w:right="287"/>
            </w:pPr>
            <w:r>
              <w:t>8.51</w:t>
            </w:r>
          </w:p>
        </w:tc>
      </w:tr>
      <w:tr>
        <w:trPr>
          <w:trHeight w:val="314"/>
        </w:trPr>
        <w:tc>
          <w:tcPr>
            <w:tcW w:w="1916" w:type="dxa"/>
          </w:tcPr>
          <w:p>
            <w:pPr>
              <w:pStyle w:val="TableParagraph"/>
              <w:spacing w:before="0" w:line="276" w:lineRule="auto"/>
              <w:ind w:right="87"/>
            </w:pPr>
            <w:r>
              <w:t xml:space="preserve">550 </w:t>
            </w:r>
          </w:p>
        </w:tc>
        <w:tc>
          <w:tcPr>
            <w:tcW w:w="1916" w:type="dxa"/>
          </w:tcPr>
          <w:p>
            <w:pPr>
              <w:pStyle w:val="TableParagraph"/>
              <w:spacing w:before="0" w:line="276" w:lineRule="auto"/>
              <w:ind w:right="87"/>
            </w:pPr>
            <w:r>
              <w:t>40</w:t>
            </w:r>
          </w:p>
        </w:tc>
        <w:tc>
          <w:tcPr>
            <w:tcW w:w="1916" w:type="dxa"/>
          </w:tcPr>
          <w:p>
            <w:pPr>
              <w:pStyle w:val="TableParagraph"/>
              <w:spacing w:before="0" w:line="276" w:lineRule="auto"/>
            </w:pPr>
            <w:r>
              <w:t>0.83</w:t>
            </w:r>
          </w:p>
        </w:tc>
        <w:tc>
          <w:tcPr>
            <w:tcW w:w="1916" w:type="dxa"/>
          </w:tcPr>
          <w:p>
            <w:pPr>
              <w:pStyle w:val="TableParagraph"/>
              <w:spacing w:before="0" w:line="276" w:lineRule="auto"/>
              <w:ind w:left="94"/>
            </w:pPr>
            <w:r>
              <w:t>0.77</w:t>
            </w:r>
          </w:p>
        </w:tc>
        <w:tc>
          <w:tcPr>
            <w:tcW w:w="1917" w:type="dxa"/>
          </w:tcPr>
          <w:p>
            <w:pPr>
              <w:pStyle w:val="TableParagraph"/>
              <w:spacing w:before="0" w:line="276" w:lineRule="auto"/>
              <w:ind w:left="290" w:right="287"/>
            </w:pPr>
            <w:r>
              <w:t>7.23</w:t>
            </w:r>
          </w:p>
        </w:tc>
      </w:tr>
      <w:tr>
        <w:trPr>
          <w:trHeight w:val="316"/>
        </w:trPr>
        <w:tc>
          <w:tcPr>
            <w:tcW w:w="1916" w:type="dxa"/>
          </w:tcPr>
          <w:p>
            <w:pPr>
              <w:pStyle w:val="TableParagraph"/>
              <w:spacing w:before="0" w:line="276" w:lineRule="auto"/>
              <w:ind w:right="87"/>
            </w:pPr>
            <w:r>
              <w:t xml:space="preserve">550 </w:t>
            </w:r>
          </w:p>
        </w:tc>
        <w:tc>
          <w:tcPr>
            <w:tcW w:w="1916" w:type="dxa"/>
          </w:tcPr>
          <w:p>
            <w:pPr>
              <w:pStyle w:val="TableParagraph"/>
              <w:spacing w:before="0" w:line="276" w:lineRule="auto"/>
              <w:ind w:right="87"/>
            </w:pPr>
            <w:r>
              <w:t>50</w:t>
            </w:r>
          </w:p>
        </w:tc>
        <w:tc>
          <w:tcPr>
            <w:tcW w:w="1916" w:type="dxa"/>
          </w:tcPr>
          <w:p>
            <w:pPr>
              <w:pStyle w:val="TableParagraph"/>
              <w:spacing w:before="0" w:line="276" w:lineRule="auto"/>
            </w:pPr>
            <w:r>
              <w:t>0.5</w:t>
            </w:r>
          </w:p>
        </w:tc>
        <w:tc>
          <w:tcPr>
            <w:tcW w:w="1916" w:type="dxa"/>
          </w:tcPr>
          <w:p>
            <w:pPr>
              <w:pStyle w:val="TableParagraph"/>
              <w:spacing w:before="0" w:line="276" w:lineRule="auto"/>
              <w:ind w:left="94"/>
            </w:pPr>
            <w:r>
              <w:t>0.61</w:t>
            </w:r>
          </w:p>
        </w:tc>
        <w:tc>
          <w:tcPr>
            <w:tcW w:w="1917" w:type="dxa"/>
          </w:tcPr>
          <w:p>
            <w:pPr>
              <w:pStyle w:val="TableParagraph"/>
              <w:spacing w:before="0" w:line="276" w:lineRule="auto"/>
              <w:ind w:left="292" w:right="287"/>
            </w:pPr>
            <w:r>
              <w:t>22</w:t>
            </w:r>
          </w:p>
        </w:tc>
      </w:tr>
    </w:tbl>
    <w:p>
      <w:pPr>
        <w:spacing w:line="276" w:lineRule="auto"/>
      </w:pPr>
    </w:p>
    <w:p>
      <w:pPr>
        <w:ind w:left="374" w:hanging="374"/>
        <w:jc w:val="both"/>
        <w:rPr>
          <w:bCs/>
          <w:sz w:val="18"/>
          <w:szCs w:val="18"/>
        </w:rPr>
      </w:pPr>
    </w:p>
    <w:p>
      <w:pPr>
        <w:ind w:left="374" w:hanging="374"/>
        <w:jc w:val="both"/>
        <w:rPr>
          <w:b/>
          <w:sz w:val="18"/>
          <w:szCs w:val="18"/>
        </w:rPr>
      </w:pPr>
    </w:p>
    <w:p>
      <w:pPr>
        <w:ind w:left="374" w:hanging="374"/>
        <w:jc w:val="both"/>
        <w:rPr>
          <w:b/>
          <w:sz w:val="18"/>
          <w:szCs w:val="18"/>
        </w:rPr>
      </w:pPr>
    </w:p>
    <w:sectPr>
      <w:headerReference w:type="default" r:id="rId8"/>
      <w:footerReference w:type="default" r:id="rId9"/>
      <w:pgSz w:w="12240" w:h="15840"/>
      <w:pgMar w:top="1360" w:right="12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472797"/>
      <w:docPartObj>
        <w:docPartGallery w:val="Page Numbers (Bottom of Page)"/>
        <w:docPartUnique/>
      </w:docPartObj>
    </w:sdtPr>
    <w:sdtContent>
      <w:sdt>
        <w:sdtPr>
          <w:id w:val="-1705238520"/>
          <w:docPartObj>
            <w:docPartGallery w:val="Page Numbers (Top of Page)"/>
            <w:docPartUnique/>
          </w:docPartObj>
        </w:sdtPr>
        <w:sdtContent>
          <w:p>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rPr>
        <w:b/>
      </w:rPr>
    </w:pPr>
    <w:r>
      <w:rPr>
        <w:b/>
      </w:rPr>
      <w:t>North-East Research Conclave</w:t>
    </w:r>
  </w:p>
  <w:p>
    <w:pPr>
      <w:pStyle w:val="Header"/>
      <w:rPr>
        <w:sz w:val="18"/>
        <w:szCs w:val="18"/>
      </w:rPr>
    </w:pPr>
    <w:r>
      <w:rPr>
        <w:b/>
        <w:sz w:val="18"/>
        <w:szCs w:val="18"/>
      </w:rPr>
      <w:t>Sustainable Science and Technology</w:t>
    </w:r>
    <w:r>
      <w:ptab w:relativeTo="margin" w:alignment="center" w:leader="none"/>
    </w:r>
    <w:r>
      <w:rPr>
        <w:b/>
      </w:rPr>
      <w:t xml:space="preserve">Extended Abstract </w:t>
    </w:r>
    <w:r>
      <w:rPr>
        <w:b/>
      </w:rPr>
      <w:ptab w:relativeTo="margin" w:alignment="right" w:leader="none"/>
    </w:r>
    <w:r>
      <w:rPr>
        <w:b/>
      </w:rPr>
      <w:t>May 20-22, 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A4A"/>
    <w:multiLevelType w:val="hybridMultilevel"/>
    <w:tmpl w:val="DD547720"/>
    <w:lvl w:ilvl="0" w:tplc="A6B60A00">
      <w:start w:val="1"/>
      <w:numFmt w:val="lowerLetter"/>
      <w:lvlText w:val="%1)"/>
      <w:lvlJc w:val="left"/>
      <w:pPr>
        <w:ind w:left="940" w:hanging="360"/>
      </w:pPr>
      <w:rPr>
        <w:rFonts w:ascii="Times New Roman" w:eastAsia="Times New Roman" w:hAnsi="Times New Roman" w:cs="Times New Roman" w:hint="default"/>
        <w:spacing w:val="-30"/>
        <w:w w:val="99"/>
        <w:sz w:val="24"/>
        <w:szCs w:val="24"/>
        <w:lang w:val="en-US" w:eastAsia="en-US" w:bidi="ar-SA"/>
      </w:rPr>
    </w:lvl>
    <w:lvl w:ilvl="1" w:tplc="0442B208">
      <w:numFmt w:val="bullet"/>
      <w:lvlText w:val="•"/>
      <w:lvlJc w:val="left"/>
      <w:pPr>
        <w:ind w:left="1826" w:hanging="360"/>
      </w:pPr>
      <w:rPr>
        <w:rFonts w:hint="default"/>
        <w:lang w:val="en-US" w:eastAsia="en-US" w:bidi="ar-SA"/>
      </w:rPr>
    </w:lvl>
    <w:lvl w:ilvl="2" w:tplc="846ED860">
      <w:numFmt w:val="bullet"/>
      <w:lvlText w:val="•"/>
      <w:lvlJc w:val="left"/>
      <w:pPr>
        <w:ind w:left="2712" w:hanging="360"/>
      </w:pPr>
      <w:rPr>
        <w:rFonts w:hint="default"/>
        <w:lang w:val="en-US" w:eastAsia="en-US" w:bidi="ar-SA"/>
      </w:rPr>
    </w:lvl>
    <w:lvl w:ilvl="3" w:tplc="764E0B4A">
      <w:numFmt w:val="bullet"/>
      <w:lvlText w:val="•"/>
      <w:lvlJc w:val="left"/>
      <w:pPr>
        <w:ind w:left="3598" w:hanging="360"/>
      </w:pPr>
      <w:rPr>
        <w:rFonts w:hint="default"/>
        <w:lang w:val="en-US" w:eastAsia="en-US" w:bidi="ar-SA"/>
      </w:rPr>
    </w:lvl>
    <w:lvl w:ilvl="4" w:tplc="7136B89A">
      <w:numFmt w:val="bullet"/>
      <w:lvlText w:val="•"/>
      <w:lvlJc w:val="left"/>
      <w:pPr>
        <w:ind w:left="4484" w:hanging="360"/>
      </w:pPr>
      <w:rPr>
        <w:rFonts w:hint="default"/>
        <w:lang w:val="en-US" w:eastAsia="en-US" w:bidi="ar-SA"/>
      </w:rPr>
    </w:lvl>
    <w:lvl w:ilvl="5" w:tplc="82907044">
      <w:numFmt w:val="bullet"/>
      <w:lvlText w:val="•"/>
      <w:lvlJc w:val="left"/>
      <w:pPr>
        <w:ind w:left="5370" w:hanging="360"/>
      </w:pPr>
      <w:rPr>
        <w:rFonts w:hint="default"/>
        <w:lang w:val="en-US" w:eastAsia="en-US" w:bidi="ar-SA"/>
      </w:rPr>
    </w:lvl>
    <w:lvl w:ilvl="6" w:tplc="6C603A6E">
      <w:numFmt w:val="bullet"/>
      <w:lvlText w:val="•"/>
      <w:lvlJc w:val="left"/>
      <w:pPr>
        <w:ind w:left="6256" w:hanging="360"/>
      </w:pPr>
      <w:rPr>
        <w:rFonts w:hint="default"/>
        <w:lang w:val="en-US" w:eastAsia="en-US" w:bidi="ar-SA"/>
      </w:rPr>
    </w:lvl>
    <w:lvl w:ilvl="7" w:tplc="1AAA52EA">
      <w:numFmt w:val="bullet"/>
      <w:lvlText w:val="•"/>
      <w:lvlJc w:val="left"/>
      <w:pPr>
        <w:ind w:left="7142" w:hanging="360"/>
      </w:pPr>
      <w:rPr>
        <w:rFonts w:hint="default"/>
        <w:lang w:val="en-US" w:eastAsia="en-US" w:bidi="ar-SA"/>
      </w:rPr>
    </w:lvl>
    <w:lvl w:ilvl="8" w:tplc="6F2E9206">
      <w:numFmt w:val="bullet"/>
      <w:lvlText w:val="•"/>
      <w:lvlJc w:val="left"/>
      <w:pPr>
        <w:ind w:left="80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93AB88-095D-4BD6-AC33-66D8D01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0" w:right="23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6"/>
      <w:ind w:left="204" w:right="238"/>
      <w:jc w:val="center"/>
    </w:pPr>
    <w:rPr>
      <w:rFonts w:ascii="Arial" w:eastAsia="Arial" w:hAnsi="Arial" w:cs="Arial"/>
      <w:b/>
      <w:bCs/>
      <w:sz w:val="28"/>
      <w:szCs w:val="28"/>
    </w:rPr>
  </w:style>
  <w:style w:type="paragraph" w:styleId="ListParagraph">
    <w:name w:val="List Paragraph"/>
    <w:basedOn w:val="Normal"/>
    <w:uiPriority w:val="1"/>
    <w:qFormat/>
    <w:pPr>
      <w:spacing w:before="1"/>
      <w:ind w:left="940" w:right="218" w:hanging="360"/>
      <w:jc w:val="both"/>
    </w:pPr>
  </w:style>
  <w:style w:type="paragraph" w:customStyle="1" w:styleId="TableParagraph">
    <w:name w:val="Table Paragraph"/>
    <w:basedOn w:val="Normal"/>
    <w:uiPriority w:val="1"/>
    <w:qFormat/>
    <w:pPr>
      <w:spacing w:before="1"/>
      <w:ind w:left="95" w:right="90"/>
      <w:jc w:val="center"/>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Laser bending is a process of bending a sheet by the irradiation of laser beam on the surface of the sheet</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Laser bending is a process of bending a sheet by the irradiation of laser beam on the surface of the sheet</dc:title>
  <dc:creator>Raghu Echempati</dc:creator>
  <cp:lastModifiedBy>Author-PC</cp:lastModifiedBy>
  <cp:revision>4</cp:revision>
  <dcterms:created xsi:type="dcterms:W3CDTF">2022-03-05T10:35:00Z</dcterms:created>
  <dcterms:modified xsi:type="dcterms:W3CDTF">2022-03-05T11:17:00Z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2013-12-02T00:00:00Z</vt:filetime>
  </property>
  <property fmtid="{D5CDD505-2E9C-101B-9397-08002B2CF9AE}" pid="3" name="Creator">
    <vt:lpwstr>Microsoft® Office Word 2007</vt:lpwstr>
  </property>
  <property fmtid="{D5CDD505-2E9C-101B-9397-08002B2CF9AE}" pid="4" name="LastSaved">
    <vt:filetime>2022-03-05T00:00:00Z</vt:filetime>
  </property>
</Properties>
</file>