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C0" w:rsidRDefault="002946C0">
      <w:pPr>
        <w:ind w:left="374" w:hanging="374"/>
        <w:jc w:val="both"/>
        <w:rPr>
          <w:b/>
          <w:sz w:val="20"/>
          <w:szCs w:val="20"/>
        </w:rPr>
      </w:pPr>
    </w:p>
    <w:p w:rsidR="00801703" w:rsidRDefault="000A5918">
      <w:pPr>
        <w:ind w:left="374" w:hanging="374"/>
        <w:jc w:val="both"/>
        <w:rPr>
          <w:b/>
          <w:color w:val="0000FF"/>
          <w:sz w:val="18"/>
          <w:szCs w:val="18"/>
        </w:rPr>
      </w:pPr>
      <w:r>
        <w:rPr>
          <w:b/>
          <w:sz w:val="20"/>
          <w:szCs w:val="20"/>
        </w:rPr>
        <w:t xml:space="preserve">Track </w:t>
      </w:r>
      <w:r>
        <w:rPr>
          <w:sz w:val="20"/>
          <w:szCs w:val="20"/>
        </w:rPr>
        <w:t>(</w:t>
      </w:r>
      <w:r>
        <w:rPr>
          <w:b/>
          <w:color w:val="0000FF"/>
          <w:sz w:val="20"/>
          <w:szCs w:val="20"/>
        </w:rPr>
        <w:t>SM/EG/)</w:t>
      </w:r>
    </w:p>
    <w:p w:rsidR="00801703" w:rsidRDefault="00801703">
      <w:pPr>
        <w:pStyle w:val="Title"/>
        <w:jc w:val="right"/>
        <w:rPr>
          <w:i/>
          <w:sz w:val="20"/>
          <w:szCs w:val="20"/>
          <w:u w:val="single"/>
        </w:rPr>
      </w:pPr>
    </w:p>
    <w:p w:rsidR="0083743C" w:rsidRPr="00B775FC" w:rsidRDefault="0083743C" w:rsidP="00D54326">
      <w:pPr>
        <w:pStyle w:val="Title"/>
        <w:ind w:left="0"/>
        <w:jc w:val="left"/>
        <w:rPr>
          <w:rFonts w:ascii="Times New Roman" w:hAnsi="Times New Roman" w:cs="Times New Roman"/>
        </w:rPr>
      </w:pPr>
      <w:bookmarkStart w:id="0" w:name="_Hlk75859755"/>
      <w:proofErr w:type="spellStart"/>
      <w:proofErr w:type="gramStart"/>
      <w:r w:rsidRPr="00B775FC">
        <w:rPr>
          <w:rFonts w:ascii="Times New Roman" w:hAnsi="Times New Roman" w:cs="Times New Roman"/>
        </w:rPr>
        <w:t>FeO</w:t>
      </w:r>
      <w:proofErr w:type="spellEnd"/>
      <w:r w:rsidRPr="00B775FC">
        <w:rPr>
          <w:rFonts w:ascii="Times New Roman" w:hAnsi="Times New Roman" w:cs="Times New Roman"/>
        </w:rPr>
        <w:t>(</w:t>
      </w:r>
      <w:proofErr w:type="gramEnd"/>
      <w:r w:rsidRPr="00B775FC">
        <w:rPr>
          <w:rFonts w:ascii="Times New Roman" w:hAnsi="Times New Roman" w:cs="Times New Roman"/>
        </w:rPr>
        <w:t>OH)/</w:t>
      </w:r>
      <w:proofErr w:type="spellStart"/>
      <w:r w:rsidRPr="00B775FC">
        <w:rPr>
          <w:rFonts w:ascii="Times New Roman" w:hAnsi="Times New Roman" w:cs="Times New Roman"/>
        </w:rPr>
        <w:t>CoCeV</w:t>
      </w:r>
      <w:proofErr w:type="spellEnd"/>
      <w:r w:rsidRPr="00B775FC">
        <w:rPr>
          <w:rFonts w:ascii="Times New Roman" w:hAnsi="Times New Roman" w:cs="Times New Roman"/>
        </w:rPr>
        <w:t xml:space="preserve"> (oxy)hydroxide as a water cleavage promoter</w:t>
      </w:r>
      <w:bookmarkEnd w:id="0"/>
    </w:p>
    <w:p w:rsidR="00B23637" w:rsidRDefault="00B23637" w:rsidP="00D54326">
      <w:pPr>
        <w:pStyle w:val="BodyText"/>
        <w:rPr>
          <w:lang w:val="en-GB"/>
        </w:rPr>
      </w:pPr>
    </w:p>
    <w:p w:rsidR="00B775FC" w:rsidRPr="00B775FC" w:rsidRDefault="00B775FC" w:rsidP="00D54326">
      <w:pPr>
        <w:pStyle w:val="BodyText"/>
        <w:rPr>
          <w:lang w:val="en-IN"/>
        </w:rPr>
      </w:pPr>
      <w:r w:rsidRPr="00B775FC">
        <w:rPr>
          <w:lang w:val="en-GB"/>
        </w:rPr>
        <w:t xml:space="preserve">Ching </w:t>
      </w:r>
      <w:proofErr w:type="spellStart"/>
      <w:r w:rsidRPr="00B775FC">
        <w:rPr>
          <w:lang w:val="en-GB"/>
        </w:rPr>
        <w:t>Thian</w:t>
      </w:r>
      <w:proofErr w:type="spellEnd"/>
      <w:r w:rsidRPr="00B775FC">
        <w:rPr>
          <w:lang w:val="en-GB"/>
        </w:rPr>
        <w:t xml:space="preserve"> </w:t>
      </w:r>
      <w:proofErr w:type="spellStart"/>
      <w:proofErr w:type="gramStart"/>
      <w:r w:rsidRPr="00B775FC">
        <w:rPr>
          <w:lang w:val="en-GB"/>
        </w:rPr>
        <w:t>Moi,</w:t>
      </w:r>
      <w:r w:rsidRPr="00B775FC">
        <w:rPr>
          <w:vertAlign w:val="superscript"/>
          <w:lang w:val="en-GB"/>
        </w:rPr>
        <w:t>a</w:t>
      </w:r>
      <w:proofErr w:type="spellEnd"/>
      <w:proofErr w:type="gramEnd"/>
      <w:r w:rsidRPr="00B775FC">
        <w:rPr>
          <w:lang w:val="en-GB"/>
        </w:rPr>
        <w:t xml:space="preserve"> Sourav </w:t>
      </w:r>
      <w:proofErr w:type="spellStart"/>
      <w:r w:rsidRPr="00B775FC">
        <w:rPr>
          <w:lang w:val="en-GB"/>
        </w:rPr>
        <w:t>Bhowmick,</w:t>
      </w:r>
      <w:r w:rsidRPr="00B775FC">
        <w:rPr>
          <w:vertAlign w:val="superscript"/>
          <w:lang w:val="en-GB"/>
        </w:rPr>
        <w:t>a</w:t>
      </w:r>
      <w:proofErr w:type="spellEnd"/>
      <w:r w:rsidRPr="00B775FC">
        <w:rPr>
          <w:lang w:val="en-GB"/>
        </w:rPr>
        <w:t xml:space="preserve"> and Mohammad </w:t>
      </w:r>
      <w:proofErr w:type="spellStart"/>
      <w:r w:rsidRPr="00B775FC">
        <w:rPr>
          <w:lang w:val="en-GB"/>
        </w:rPr>
        <w:t>Qureshi</w:t>
      </w:r>
      <w:r w:rsidRPr="00B775FC">
        <w:rPr>
          <w:vertAlign w:val="superscript"/>
          <w:lang w:val="en-GB"/>
        </w:rPr>
        <w:t>a</w:t>
      </w:r>
      <w:proofErr w:type="spellEnd"/>
      <w:r w:rsidRPr="00B775FC">
        <w:rPr>
          <w:lang w:val="en-GB"/>
        </w:rPr>
        <w:t>*</w:t>
      </w:r>
    </w:p>
    <w:p w:rsidR="00801703" w:rsidRDefault="00801703">
      <w:pPr>
        <w:pStyle w:val="BodyText"/>
        <w:ind w:left="90"/>
        <w:jc w:val="center"/>
      </w:pPr>
    </w:p>
    <w:p w:rsidR="00B775FC" w:rsidRPr="00B775FC" w:rsidRDefault="00B775FC" w:rsidP="00D54326">
      <w:pPr>
        <w:pStyle w:val="BodyText"/>
        <w:rPr>
          <w:i/>
        </w:rPr>
      </w:pPr>
      <w:proofErr w:type="spellStart"/>
      <w:r w:rsidRPr="00B775FC">
        <w:rPr>
          <w:i/>
          <w:vertAlign w:val="superscript"/>
        </w:rPr>
        <w:t>a</w:t>
      </w:r>
      <w:r w:rsidRPr="00B775FC">
        <w:rPr>
          <w:i/>
        </w:rPr>
        <w:t>Department</w:t>
      </w:r>
      <w:proofErr w:type="spellEnd"/>
      <w:r w:rsidRPr="00B775FC">
        <w:rPr>
          <w:i/>
        </w:rPr>
        <w:t xml:space="preserve"> of Chemistry, Indian Institute of Technology, Guwahati – 781039, Assam, India.</w:t>
      </w:r>
    </w:p>
    <w:p w:rsidR="00673EFB" w:rsidRDefault="00673EFB" w:rsidP="00673EFB">
      <w:pPr>
        <w:pStyle w:val="BodyText"/>
        <w:rPr>
          <w:i/>
        </w:rPr>
      </w:pPr>
    </w:p>
    <w:p w:rsidR="00B775FC" w:rsidRPr="00B775FC" w:rsidRDefault="00B775FC" w:rsidP="00673EFB">
      <w:pPr>
        <w:pStyle w:val="BodyText"/>
        <w:rPr>
          <w:i/>
        </w:rPr>
      </w:pPr>
      <w:r w:rsidRPr="00B775FC">
        <w:rPr>
          <w:i/>
        </w:rPr>
        <w:t>*E-mail: mq@iitg.ac.in; Fax: +91-361-2582349; Tel: +91-361-2582320</w:t>
      </w:r>
    </w:p>
    <w:p w:rsidR="00801703" w:rsidRDefault="00801703">
      <w:pPr>
        <w:pStyle w:val="BodyText"/>
        <w:ind w:left="239" w:right="238"/>
        <w:jc w:val="center"/>
      </w:pPr>
    </w:p>
    <w:p w:rsidR="00673EFB" w:rsidRDefault="00673EFB" w:rsidP="00031A16">
      <w:pPr>
        <w:pStyle w:val="BodyText"/>
        <w:spacing w:line="276" w:lineRule="auto"/>
        <w:ind w:firstLine="242"/>
        <w:jc w:val="both"/>
        <w:rPr>
          <w:b/>
          <w:lang w:val="en-IN"/>
        </w:rPr>
      </w:pPr>
    </w:p>
    <w:p w:rsidR="00031A16" w:rsidRPr="00031A16" w:rsidRDefault="00031A16" w:rsidP="00031A16">
      <w:pPr>
        <w:pStyle w:val="BodyText"/>
        <w:spacing w:line="276" w:lineRule="auto"/>
        <w:ind w:firstLine="242"/>
        <w:jc w:val="both"/>
        <w:rPr>
          <w:b/>
          <w:lang w:val="en-IN"/>
        </w:rPr>
      </w:pPr>
      <w:r w:rsidRPr="00031A16">
        <w:rPr>
          <w:b/>
          <w:lang w:val="en-IN"/>
        </w:rPr>
        <w:t>Abstract:</w:t>
      </w:r>
      <w:bookmarkStart w:id="1" w:name="_GoBack"/>
      <w:bookmarkEnd w:id="1"/>
    </w:p>
    <w:p w:rsidR="00031A16" w:rsidRDefault="00031A16" w:rsidP="00031A16">
      <w:pPr>
        <w:pStyle w:val="BodyText"/>
        <w:spacing w:line="276" w:lineRule="auto"/>
        <w:ind w:firstLine="242"/>
        <w:jc w:val="both"/>
      </w:pPr>
      <w:r w:rsidRPr="00031A16">
        <w:t xml:space="preserve">Search for a bifunctional electrocatalyst having water cleavage promoting ability along with the operational stability to efficiently generate oxygen and hydrogen could lead to robust systems for applications. These fundamental ideas can be achieved by designing the morphology, tuning the electronic structure, and using dopants in their higher oxidation states. Herein, we have fabricated a binder-free </w:t>
      </w:r>
      <w:proofErr w:type="spellStart"/>
      <w:proofErr w:type="gramStart"/>
      <w:r w:rsidRPr="00031A16">
        <w:t>FeO</w:t>
      </w:r>
      <w:proofErr w:type="spellEnd"/>
      <w:r w:rsidRPr="00031A16">
        <w:t>(</w:t>
      </w:r>
      <w:proofErr w:type="gramEnd"/>
      <w:r w:rsidRPr="00031A16">
        <w:t>OH)-</w:t>
      </w:r>
      <w:proofErr w:type="spellStart"/>
      <w:r w:rsidRPr="00031A16">
        <w:t>CoCeV</w:t>
      </w:r>
      <w:proofErr w:type="spellEnd"/>
      <w:r w:rsidRPr="00031A16">
        <w:t xml:space="preserve">-layered triple hydroxide (LTH) bifunctional catalyst by a two-step hydrothermal method, in which the nanograin shaped </w:t>
      </w:r>
      <w:proofErr w:type="spellStart"/>
      <w:r w:rsidRPr="00031A16">
        <w:t>FeO</w:t>
      </w:r>
      <w:proofErr w:type="spellEnd"/>
      <w:r w:rsidRPr="00031A16">
        <w:t xml:space="preserve">(OH) coupled with </w:t>
      </w:r>
      <w:proofErr w:type="spellStart"/>
      <w:r w:rsidRPr="00031A16">
        <w:t>CoCeV</w:t>
      </w:r>
      <w:proofErr w:type="spellEnd"/>
      <w:r w:rsidRPr="00031A16">
        <w:t>-LTH nanoflakes provide more electro catalytically active sites and enhanced the charge transfer kinetics for hydrogen evolution reaction (HER) and oxygen evolution reaction (OER). The composition optimized electrocatalyst (</w:t>
      </w:r>
      <w:proofErr w:type="spellStart"/>
      <w:proofErr w:type="gramStart"/>
      <w:r w:rsidRPr="00031A16">
        <w:t>FeO</w:t>
      </w:r>
      <w:proofErr w:type="spellEnd"/>
      <w:r w:rsidRPr="00031A16">
        <w:t>(</w:t>
      </w:r>
      <w:proofErr w:type="gramEnd"/>
      <w:r w:rsidRPr="00031A16">
        <w:t>OH)-Co</w:t>
      </w:r>
      <w:r w:rsidRPr="00031A16">
        <w:rPr>
          <w:vertAlign w:val="subscript"/>
        </w:rPr>
        <w:t>0.5</w:t>
      </w:r>
      <w:r w:rsidRPr="00031A16">
        <w:t>Ce</w:t>
      </w:r>
      <w:r w:rsidRPr="00031A16">
        <w:rPr>
          <w:vertAlign w:val="subscript"/>
        </w:rPr>
        <w:t>0.05</w:t>
      </w:r>
      <w:r w:rsidRPr="00031A16">
        <w:t>V</w:t>
      </w:r>
      <w:r w:rsidRPr="00031A16">
        <w:rPr>
          <w:vertAlign w:val="subscript"/>
        </w:rPr>
        <w:t>0.15</w:t>
      </w:r>
      <w:r w:rsidRPr="00031A16">
        <w:t>-LTH) acts as an efficient water cleavage composite by virtue of its favorable oxidation states leading to cyclic redox couples which yields an overpotential of 53 mV</w:t>
      </w:r>
      <w:r w:rsidRPr="00031A16">
        <w:rPr>
          <w:vertAlign w:val="superscript"/>
        </w:rPr>
        <w:t xml:space="preserve"> </w:t>
      </w:r>
      <w:r w:rsidRPr="00031A16">
        <w:t>for HER, and 227 mV for OER to drive 10 mA/cm</w:t>
      </w:r>
      <w:r w:rsidRPr="00031A16">
        <w:rPr>
          <w:vertAlign w:val="superscript"/>
        </w:rPr>
        <w:t>2</w:t>
      </w:r>
      <w:r w:rsidRPr="00031A16">
        <w:t xml:space="preserve"> current density in 1M KOH, with a corresponding Tafel slope of 70 mV/</w:t>
      </w:r>
      <w:proofErr w:type="spellStart"/>
      <w:r w:rsidRPr="00031A16">
        <w:t>dec</w:t>
      </w:r>
      <w:proofErr w:type="spellEnd"/>
      <w:r w:rsidRPr="00031A16">
        <w:t xml:space="preserve"> for HER and 52 mV/</w:t>
      </w:r>
      <w:proofErr w:type="spellStart"/>
      <w:r w:rsidRPr="00031A16">
        <w:t>dec</w:t>
      </w:r>
      <w:proofErr w:type="spellEnd"/>
      <w:r w:rsidRPr="00031A16">
        <w:t xml:space="preserve"> for OER. Furthermore, for the overall water splitting reaction, the heterostructure </w:t>
      </w:r>
      <w:proofErr w:type="spellStart"/>
      <w:proofErr w:type="gramStart"/>
      <w:r w:rsidRPr="00031A16">
        <w:t>FeO</w:t>
      </w:r>
      <w:proofErr w:type="spellEnd"/>
      <w:r w:rsidRPr="00031A16">
        <w:t>(</w:t>
      </w:r>
      <w:proofErr w:type="gramEnd"/>
      <w:r w:rsidRPr="00031A16">
        <w:t>OH)-Co</w:t>
      </w:r>
      <w:r w:rsidRPr="00031A16">
        <w:rPr>
          <w:vertAlign w:val="subscript"/>
        </w:rPr>
        <w:t>0.5</w:t>
      </w:r>
      <w:r w:rsidRPr="00031A16">
        <w:t>Ce</w:t>
      </w:r>
      <w:r w:rsidRPr="00031A16">
        <w:rPr>
          <w:vertAlign w:val="subscript"/>
        </w:rPr>
        <w:t>0.05</w:t>
      </w:r>
      <w:r w:rsidRPr="00031A16">
        <w:t>V</w:t>
      </w:r>
      <w:r w:rsidRPr="00031A16">
        <w:rPr>
          <w:vertAlign w:val="subscript"/>
        </w:rPr>
        <w:t>0.15</w:t>
      </w:r>
      <w:r w:rsidRPr="00031A16">
        <w:t>-LTH, acts as a dual-functional electrocatalyst, which requires a cell voltage of 1.52 V vs RHE to drive 10 mA/cm</w:t>
      </w:r>
      <w:r w:rsidRPr="00031A16">
        <w:rPr>
          <w:vertAlign w:val="superscript"/>
        </w:rPr>
        <w:t>2</w:t>
      </w:r>
      <w:r w:rsidRPr="00031A16">
        <w:t xml:space="preserve"> current density. </w:t>
      </w:r>
    </w:p>
    <w:p w:rsidR="007965DD" w:rsidRDefault="007965DD" w:rsidP="00031A16">
      <w:pPr>
        <w:pStyle w:val="BodyText"/>
        <w:spacing w:line="276" w:lineRule="auto"/>
        <w:ind w:firstLine="242"/>
        <w:jc w:val="both"/>
      </w:pPr>
    </w:p>
    <w:p w:rsidR="007965DD" w:rsidRDefault="007965DD" w:rsidP="00031A16">
      <w:pPr>
        <w:pStyle w:val="BodyText"/>
        <w:spacing w:line="276" w:lineRule="auto"/>
        <w:ind w:firstLine="242"/>
        <w:jc w:val="both"/>
      </w:pPr>
    </w:p>
    <w:p w:rsidR="0047563D" w:rsidRDefault="0047563D" w:rsidP="0047563D">
      <w:pPr>
        <w:pStyle w:val="BodyText"/>
        <w:spacing w:line="276" w:lineRule="auto"/>
        <w:ind w:firstLine="242"/>
        <w:jc w:val="center"/>
      </w:pPr>
      <w:r>
        <w:rPr>
          <w:noProof/>
        </w:rPr>
        <w:drawing>
          <wp:inline distT="0" distB="0" distL="0" distR="0" wp14:anchorId="5819DF42" wp14:editId="7D5276D9">
            <wp:extent cx="3647440" cy="2051685"/>
            <wp:effectExtent l="0" t="0" r="0"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7440" cy="2051685"/>
                    </a:xfrm>
                    <a:prstGeom prst="rect">
                      <a:avLst/>
                    </a:prstGeom>
                    <a:noFill/>
                  </pic:spPr>
                </pic:pic>
              </a:graphicData>
            </a:graphic>
          </wp:inline>
        </w:drawing>
      </w:r>
    </w:p>
    <w:p w:rsidR="00017D0F" w:rsidRDefault="00017D0F" w:rsidP="0047563D">
      <w:pPr>
        <w:pStyle w:val="BodyText"/>
        <w:spacing w:line="276" w:lineRule="auto"/>
        <w:ind w:firstLine="242"/>
        <w:jc w:val="center"/>
      </w:pPr>
    </w:p>
    <w:p w:rsidR="00017D0F" w:rsidRDefault="00017D0F" w:rsidP="00017D0F">
      <w:pPr>
        <w:ind w:firstLine="720"/>
        <w:rPr>
          <w:b/>
        </w:rPr>
      </w:pPr>
      <w:r>
        <w:rPr>
          <w:b/>
          <w:i/>
          <w:iCs/>
        </w:rPr>
        <w:t>ACS Appl. Mater. Interfaces</w:t>
      </w:r>
      <w:r>
        <w:rPr>
          <w:b/>
        </w:rPr>
        <w:t> 2021, 13, 43, 51151–51160</w:t>
      </w:r>
    </w:p>
    <w:p w:rsidR="00017D0F" w:rsidRPr="00031A16" w:rsidRDefault="00017D0F" w:rsidP="0047563D">
      <w:pPr>
        <w:pStyle w:val="BodyText"/>
        <w:spacing w:line="276" w:lineRule="auto"/>
        <w:ind w:firstLine="242"/>
        <w:jc w:val="center"/>
      </w:pPr>
    </w:p>
    <w:p w:rsidR="00801703" w:rsidRDefault="00801703">
      <w:pPr>
        <w:pStyle w:val="BodyText"/>
        <w:spacing w:line="276" w:lineRule="auto"/>
        <w:ind w:firstLine="242"/>
        <w:jc w:val="both"/>
        <w:rPr>
          <w:sz w:val="22"/>
          <w:szCs w:val="22"/>
        </w:rPr>
      </w:pPr>
    </w:p>
    <w:p w:rsidR="00801703" w:rsidRDefault="00801703">
      <w:pPr>
        <w:spacing w:line="276" w:lineRule="auto"/>
      </w:pPr>
    </w:p>
    <w:p w:rsidR="00801703" w:rsidRDefault="00801703">
      <w:pPr>
        <w:ind w:left="374" w:hanging="374"/>
        <w:jc w:val="both"/>
        <w:rPr>
          <w:bCs/>
          <w:sz w:val="18"/>
          <w:szCs w:val="18"/>
        </w:rPr>
      </w:pPr>
    </w:p>
    <w:p w:rsidR="00801703" w:rsidRDefault="00801703">
      <w:pPr>
        <w:ind w:left="374" w:hanging="374"/>
        <w:jc w:val="both"/>
        <w:rPr>
          <w:b/>
          <w:sz w:val="18"/>
          <w:szCs w:val="18"/>
        </w:rPr>
      </w:pPr>
    </w:p>
    <w:p w:rsidR="00801703" w:rsidRDefault="00801703">
      <w:pPr>
        <w:ind w:left="374" w:hanging="374"/>
        <w:jc w:val="both"/>
        <w:rPr>
          <w:b/>
          <w:sz w:val="18"/>
          <w:szCs w:val="18"/>
        </w:rPr>
      </w:pPr>
    </w:p>
    <w:sectPr w:rsidR="00801703">
      <w:headerReference w:type="default" r:id="rId8"/>
      <w:footerReference w:type="default" r:id="rId9"/>
      <w:pgSz w:w="12240" w:h="15840"/>
      <w:pgMar w:top="136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703" w:rsidRDefault="000A5918">
      <w:r>
        <w:separator/>
      </w:r>
    </w:p>
  </w:endnote>
  <w:endnote w:type="continuationSeparator" w:id="0">
    <w:p w:rsidR="00801703" w:rsidRDefault="000A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472797"/>
      <w:docPartObj>
        <w:docPartGallery w:val="Page Numbers (Bottom of Page)"/>
        <w:docPartUnique/>
      </w:docPartObj>
    </w:sdtPr>
    <w:sdtEndPr/>
    <w:sdtContent>
      <w:sdt>
        <w:sdtPr>
          <w:id w:val="-1705238520"/>
          <w:docPartObj>
            <w:docPartGallery w:val="Page Numbers (Top of Page)"/>
            <w:docPartUnique/>
          </w:docPartObj>
        </w:sdtPr>
        <w:sdtEndPr/>
        <w:sdtContent>
          <w:p w:rsidR="00801703" w:rsidRDefault="000A591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01703" w:rsidRDefault="00801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703" w:rsidRDefault="000A5918">
      <w:r>
        <w:separator/>
      </w:r>
    </w:p>
  </w:footnote>
  <w:footnote w:type="continuationSeparator" w:id="0">
    <w:p w:rsidR="00801703" w:rsidRDefault="000A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703" w:rsidRDefault="000A5918">
    <w:pPr>
      <w:pStyle w:val="Header"/>
      <w:rPr>
        <w:b/>
      </w:rPr>
    </w:pPr>
    <w:r>
      <w:rPr>
        <w:b/>
      </w:rPr>
      <w:t>North-East Research Conclave</w:t>
    </w:r>
  </w:p>
  <w:p w:rsidR="00801703" w:rsidRDefault="000A5918">
    <w:pPr>
      <w:pStyle w:val="Header"/>
      <w:rPr>
        <w:sz w:val="18"/>
        <w:szCs w:val="18"/>
      </w:rPr>
    </w:pPr>
    <w:r>
      <w:rPr>
        <w:b/>
        <w:sz w:val="18"/>
        <w:szCs w:val="18"/>
      </w:rPr>
      <w:t>Sustainable Science and Technology</w:t>
    </w:r>
    <w:r>
      <w:ptab w:relativeTo="margin" w:alignment="center" w:leader="none"/>
    </w:r>
    <w:r>
      <w:rPr>
        <w:b/>
      </w:rPr>
      <w:t xml:space="preserve">Extended Abstract </w:t>
    </w:r>
    <w:r>
      <w:rPr>
        <w:b/>
      </w:rPr>
      <w:ptab w:relativeTo="margin" w:alignment="right" w:leader="none"/>
    </w:r>
    <w:r>
      <w:rPr>
        <w:b/>
      </w:rPr>
      <w:t>May 20-22,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A4A"/>
    <w:multiLevelType w:val="hybridMultilevel"/>
    <w:tmpl w:val="DD547720"/>
    <w:lvl w:ilvl="0" w:tplc="A6B60A00">
      <w:start w:val="1"/>
      <w:numFmt w:val="lowerLetter"/>
      <w:lvlText w:val="%1)"/>
      <w:lvlJc w:val="left"/>
      <w:pPr>
        <w:ind w:left="940" w:hanging="360"/>
      </w:pPr>
      <w:rPr>
        <w:rFonts w:ascii="Times New Roman" w:eastAsia="Times New Roman" w:hAnsi="Times New Roman" w:cs="Times New Roman" w:hint="default"/>
        <w:spacing w:val="-30"/>
        <w:w w:val="99"/>
        <w:sz w:val="24"/>
        <w:szCs w:val="24"/>
        <w:lang w:val="en-US" w:eastAsia="en-US" w:bidi="ar-SA"/>
      </w:rPr>
    </w:lvl>
    <w:lvl w:ilvl="1" w:tplc="0442B208">
      <w:numFmt w:val="bullet"/>
      <w:lvlText w:val="•"/>
      <w:lvlJc w:val="left"/>
      <w:pPr>
        <w:ind w:left="1826" w:hanging="360"/>
      </w:pPr>
      <w:rPr>
        <w:rFonts w:hint="default"/>
        <w:lang w:val="en-US" w:eastAsia="en-US" w:bidi="ar-SA"/>
      </w:rPr>
    </w:lvl>
    <w:lvl w:ilvl="2" w:tplc="846ED860">
      <w:numFmt w:val="bullet"/>
      <w:lvlText w:val="•"/>
      <w:lvlJc w:val="left"/>
      <w:pPr>
        <w:ind w:left="2712" w:hanging="360"/>
      </w:pPr>
      <w:rPr>
        <w:rFonts w:hint="default"/>
        <w:lang w:val="en-US" w:eastAsia="en-US" w:bidi="ar-SA"/>
      </w:rPr>
    </w:lvl>
    <w:lvl w:ilvl="3" w:tplc="764E0B4A">
      <w:numFmt w:val="bullet"/>
      <w:lvlText w:val="•"/>
      <w:lvlJc w:val="left"/>
      <w:pPr>
        <w:ind w:left="3598" w:hanging="360"/>
      </w:pPr>
      <w:rPr>
        <w:rFonts w:hint="default"/>
        <w:lang w:val="en-US" w:eastAsia="en-US" w:bidi="ar-SA"/>
      </w:rPr>
    </w:lvl>
    <w:lvl w:ilvl="4" w:tplc="7136B89A">
      <w:numFmt w:val="bullet"/>
      <w:lvlText w:val="•"/>
      <w:lvlJc w:val="left"/>
      <w:pPr>
        <w:ind w:left="4484" w:hanging="360"/>
      </w:pPr>
      <w:rPr>
        <w:rFonts w:hint="default"/>
        <w:lang w:val="en-US" w:eastAsia="en-US" w:bidi="ar-SA"/>
      </w:rPr>
    </w:lvl>
    <w:lvl w:ilvl="5" w:tplc="82907044">
      <w:numFmt w:val="bullet"/>
      <w:lvlText w:val="•"/>
      <w:lvlJc w:val="left"/>
      <w:pPr>
        <w:ind w:left="5370" w:hanging="360"/>
      </w:pPr>
      <w:rPr>
        <w:rFonts w:hint="default"/>
        <w:lang w:val="en-US" w:eastAsia="en-US" w:bidi="ar-SA"/>
      </w:rPr>
    </w:lvl>
    <w:lvl w:ilvl="6" w:tplc="6C603A6E">
      <w:numFmt w:val="bullet"/>
      <w:lvlText w:val="•"/>
      <w:lvlJc w:val="left"/>
      <w:pPr>
        <w:ind w:left="6256" w:hanging="360"/>
      </w:pPr>
      <w:rPr>
        <w:rFonts w:hint="default"/>
        <w:lang w:val="en-US" w:eastAsia="en-US" w:bidi="ar-SA"/>
      </w:rPr>
    </w:lvl>
    <w:lvl w:ilvl="7" w:tplc="1AAA52EA">
      <w:numFmt w:val="bullet"/>
      <w:lvlText w:val="•"/>
      <w:lvlJc w:val="left"/>
      <w:pPr>
        <w:ind w:left="7142" w:hanging="360"/>
      </w:pPr>
      <w:rPr>
        <w:rFonts w:hint="default"/>
        <w:lang w:val="en-US" w:eastAsia="en-US" w:bidi="ar-SA"/>
      </w:rPr>
    </w:lvl>
    <w:lvl w:ilvl="8" w:tplc="6F2E9206">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2MjCwNDQwNTU2MTFT0lEKTi0uzszPAykwrAUAPPZrSCwAAAA="/>
  </w:docVars>
  <w:rsids>
    <w:rsidRoot w:val="00801703"/>
    <w:rsid w:val="00017D0F"/>
    <w:rsid w:val="00031A16"/>
    <w:rsid w:val="000A5918"/>
    <w:rsid w:val="00280D65"/>
    <w:rsid w:val="002946C0"/>
    <w:rsid w:val="002F2A4E"/>
    <w:rsid w:val="0047563D"/>
    <w:rsid w:val="00673EFB"/>
    <w:rsid w:val="007965DD"/>
    <w:rsid w:val="00801703"/>
    <w:rsid w:val="0083743C"/>
    <w:rsid w:val="009D30F0"/>
    <w:rsid w:val="00A200BC"/>
    <w:rsid w:val="00B23637"/>
    <w:rsid w:val="00B775FC"/>
    <w:rsid w:val="00C60B61"/>
    <w:rsid w:val="00D54326"/>
    <w:rsid w:val="00D86CDC"/>
    <w:rsid w:val="00EE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75D9"/>
  <w15:docId w15:val="{0093AB88-095D-4BD6-AC33-66D8D01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right="23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left="204" w:right="238"/>
      <w:jc w:val="center"/>
    </w:pPr>
    <w:rPr>
      <w:rFonts w:ascii="Arial" w:eastAsia="Arial" w:hAnsi="Arial" w:cs="Arial"/>
      <w:b/>
      <w:bCs/>
      <w:sz w:val="28"/>
      <w:szCs w:val="28"/>
    </w:rPr>
  </w:style>
  <w:style w:type="paragraph" w:styleId="ListParagraph">
    <w:name w:val="List Paragraph"/>
    <w:basedOn w:val="Normal"/>
    <w:uiPriority w:val="1"/>
    <w:qFormat/>
    <w:pPr>
      <w:spacing w:before="1"/>
      <w:ind w:left="940" w:right="218" w:hanging="360"/>
      <w:jc w:val="both"/>
    </w:pPr>
  </w:style>
  <w:style w:type="paragraph" w:customStyle="1" w:styleId="TableParagraph">
    <w:name w:val="Table Paragraph"/>
    <w:basedOn w:val="Normal"/>
    <w:uiPriority w:val="1"/>
    <w:qFormat/>
    <w:pPr>
      <w:spacing w:before="1"/>
      <w:ind w:left="95" w:right="90"/>
      <w:jc w:val="center"/>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8801">
      <w:bodyDiv w:val="1"/>
      <w:marLeft w:val="0"/>
      <w:marRight w:val="0"/>
      <w:marTop w:val="0"/>
      <w:marBottom w:val="0"/>
      <w:divBdr>
        <w:top w:val="none" w:sz="0" w:space="0" w:color="auto"/>
        <w:left w:val="none" w:sz="0" w:space="0" w:color="auto"/>
        <w:bottom w:val="none" w:sz="0" w:space="0" w:color="auto"/>
        <w:right w:val="none" w:sz="0" w:space="0" w:color="auto"/>
      </w:divBdr>
    </w:div>
    <w:div w:id="597099816">
      <w:bodyDiv w:val="1"/>
      <w:marLeft w:val="0"/>
      <w:marRight w:val="0"/>
      <w:marTop w:val="0"/>
      <w:marBottom w:val="0"/>
      <w:divBdr>
        <w:top w:val="none" w:sz="0" w:space="0" w:color="auto"/>
        <w:left w:val="none" w:sz="0" w:space="0" w:color="auto"/>
        <w:bottom w:val="none" w:sz="0" w:space="0" w:color="auto"/>
        <w:right w:val="none" w:sz="0" w:space="0" w:color="auto"/>
      </w:divBdr>
    </w:div>
    <w:div w:id="1613169177">
      <w:bodyDiv w:val="1"/>
      <w:marLeft w:val="0"/>
      <w:marRight w:val="0"/>
      <w:marTop w:val="0"/>
      <w:marBottom w:val="0"/>
      <w:divBdr>
        <w:top w:val="none" w:sz="0" w:space="0" w:color="auto"/>
        <w:left w:val="none" w:sz="0" w:space="0" w:color="auto"/>
        <w:bottom w:val="none" w:sz="0" w:space="0" w:color="auto"/>
        <w:right w:val="none" w:sz="0" w:space="0" w:color="auto"/>
      </w:divBdr>
    </w:div>
    <w:div w:id="1746756280">
      <w:bodyDiv w:val="1"/>
      <w:marLeft w:val="0"/>
      <w:marRight w:val="0"/>
      <w:marTop w:val="0"/>
      <w:marBottom w:val="0"/>
      <w:divBdr>
        <w:top w:val="none" w:sz="0" w:space="0" w:color="auto"/>
        <w:left w:val="none" w:sz="0" w:space="0" w:color="auto"/>
        <w:bottom w:val="none" w:sz="0" w:space="0" w:color="auto"/>
        <w:right w:val="none" w:sz="0" w:space="0" w:color="auto"/>
      </w:divBdr>
    </w:div>
    <w:div w:id="208641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Laser bending is a process of bending a sheet by the irradiation of laser beam on the surface of the sheet</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Laser bending is a process of bending a sheet by the irradiation of laser beam on the surface of the sheet</dc:title>
  <dc:creator>Raghu Echempati</dc:creator>
  <cp:lastModifiedBy>MR. SUHAIB   ALAM</cp:lastModifiedBy>
  <cp:revision>19</cp:revision>
  <dcterms:created xsi:type="dcterms:W3CDTF">2022-03-21T07:00:00Z</dcterms:created>
  <dcterms:modified xsi:type="dcterms:W3CDTF">2022-03-21T07:17:00Z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2013-12-02T00:00:00Z</vt:filetime>
  </property>
  <property fmtid="{D5CDD505-2E9C-101B-9397-08002B2CF9AE}" pid="3" name="Creator">
    <vt:lpwstr>Microsoft® Office Word 2007</vt:lpwstr>
  </property>
  <property fmtid="{D5CDD505-2E9C-101B-9397-08002B2CF9AE}" pid="4" name="LastSaved">
    <vt:filetime>2022-03-05T00:00:00Z</vt:filetime>
  </property>
</Properties>
</file>