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3A84" w:rsidRDefault="00257117">
      <w:pPr>
        <w:ind w:left="374" w:hanging="374"/>
        <w:jc w:val="both"/>
        <w:rPr>
          <w:b/>
          <w:color w:val="0000FF"/>
          <w:sz w:val="18"/>
          <w:szCs w:val="18"/>
        </w:rPr>
      </w:pPr>
      <w:r>
        <w:rPr>
          <w:b/>
          <w:color w:val="FF0000"/>
          <w:sz w:val="18"/>
          <w:szCs w:val="18"/>
        </w:rPr>
        <w:t xml:space="preserve">. </w:t>
      </w:r>
    </w:p>
    <w:p w:rsidR="00053A84" w:rsidRPr="00D21715" w:rsidRDefault="00053A84">
      <w:pPr>
        <w:pStyle w:val="Title"/>
        <w:jc w:val="right"/>
        <w:rPr>
          <w:i/>
          <w:u w:val="single"/>
        </w:rPr>
      </w:pPr>
    </w:p>
    <w:p w:rsidR="00D21715" w:rsidRPr="00D21715" w:rsidRDefault="00D21715" w:rsidP="00D21715">
      <w:pPr>
        <w:jc w:val="center"/>
        <w:rPr>
          <w:b/>
          <w:bCs/>
          <w:sz w:val="28"/>
          <w:szCs w:val="28"/>
        </w:rPr>
      </w:pPr>
      <w:r w:rsidRPr="00D21715">
        <w:rPr>
          <w:b/>
          <w:bCs/>
          <w:sz w:val="28"/>
          <w:szCs w:val="28"/>
        </w:rPr>
        <w:t>A comprehensive review of computational approaches to the interaction of pyrene derivatives with BSA protein: insights from experimental studies</w:t>
      </w:r>
    </w:p>
    <w:p w:rsidR="00D21715" w:rsidRPr="00D21715" w:rsidRDefault="00D21715" w:rsidP="00D21715">
      <w:pPr>
        <w:jc w:val="center"/>
        <w:rPr>
          <w:sz w:val="24"/>
          <w:szCs w:val="24"/>
        </w:rPr>
      </w:pPr>
      <w:r w:rsidRPr="00D21715">
        <w:rPr>
          <w:sz w:val="24"/>
          <w:szCs w:val="24"/>
        </w:rPr>
        <w:t>SelvarajSengottiyan</w:t>
      </w:r>
      <w:r w:rsidRPr="00D21715">
        <w:rPr>
          <w:sz w:val="24"/>
          <w:szCs w:val="24"/>
          <w:vertAlign w:val="superscript"/>
        </w:rPr>
        <w:t>1</w:t>
      </w:r>
      <w:r w:rsidRPr="00D21715">
        <w:rPr>
          <w:sz w:val="24"/>
          <w:szCs w:val="24"/>
        </w:rPr>
        <w:t>,</w:t>
      </w:r>
      <w:r w:rsidRPr="00E563BA">
        <w:rPr>
          <w:sz w:val="24"/>
          <w:szCs w:val="24"/>
          <w:u w:val="single"/>
        </w:rPr>
        <w:t>Kakoli Malakar</w:t>
      </w:r>
      <w:r w:rsidRPr="00E563BA">
        <w:rPr>
          <w:sz w:val="24"/>
          <w:szCs w:val="24"/>
          <w:u w:val="single"/>
          <w:vertAlign w:val="superscript"/>
        </w:rPr>
        <w:t>2</w:t>
      </w:r>
      <w:r w:rsidRPr="00D21715">
        <w:rPr>
          <w:sz w:val="24"/>
          <w:szCs w:val="24"/>
        </w:rPr>
        <w:t>,Arunkumar Kathiravan</w:t>
      </w:r>
      <w:r w:rsidRPr="00D21715">
        <w:rPr>
          <w:sz w:val="24"/>
          <w:szCs w:val="24"/>
          <w:vertAlign w:val="superscript"/>
        </w:rPr>
        <w:t>3</w:t>
      </w:r>
      <w:r w:rsidRPr="00D21715">
        <w:rPr>
          <w:sz w:val="24"/>
          <w:szCs w:val="24"/>
        </w:rPr>
        <w:t>,Marappan Velusamy</w:t>
      </w:r>
      <w:r w:rsidRPr="00D21715">
        <w:rPr>
          <w:sz w:val="24"/>
          <w:szCs w:val="24"/>
          <w:vertAlign w:val="superscript"/>
        </w:rPr>
        <w:t>2</w:t>
      </w:r>
      <w:r w:rsidRPr="00D21715">
        <w:rPr>
          <w:sz w:val="24"/>
          <w:szCs w:val="24"/>
        </w:rPr>
        <w:t>,Alicja Mikolajczyk</w:t>
      </w:r>
      <w:r w:rsidRPr="00D21715">
        <w:rPr>
          <w:sz w:val="24"/>
          <w:szCs w:val="24"/>
          <w:vertAlign w:val="superscript"/>
        </w:rPr>
        <w:t>1</w:t>
      </w:r>
      <w:r w:rsidRPr="00D21715">
        <w:rPr>
          <w:sz w:val="24"/>
          <w:szCs w:val="24"/>
        </w:rPr>
        <w:t>, Tomasz Puzyn</w:t>
      </w:r>
      <w:r w:rsidRPr="00D21715">
        <w:rPr>
          <w:sz w:val="24"/>
          <w:szCs w:val="24"/>
          <w:vertAlign w:val="superscript"/>
        </w:rPr>
        <w:t>1*</w:t>
      </w:r>
    </w:p>
    <w:p w:rsidR="00D21715" w:rsidRPr="00087ACE" w:rsidRDefault="00257117" w:rsidP="00D21715">
      <w:pPr>
        <w:jc w:val="center"/>
        <w:rPr>
          <w:sz w:val="24"/>
          <w:szCs w:val="24"/>
        </w:rPr>
      </w:pPr>
      <w:r>
        <w:rPr>
          <w:vertAlign w:val="superscript"/>
        </w:rPr>
        <w:t>1</w:t>
      </w:r>
      <w:r>
        <w:t xml:space="preserve">Department of [Name 1], Indian Institute of Technology Guwahati, Assam, India. </w:t>
      </w:r>
      <w:r w:rsidR="00D21715" w:rsidRPr="00087ACE">
        <w:rPr>
          <w:sz w:val="24"/>
          <w:szCs w:val="24"/>
          <w:vertAlign w:val="superscript"/>
        </w:rPr>
        <w:t>1</w:t>
      </w:r>
      <w:r w:rsidR="00D21715" w:rsidRPr="00087ACE">
        <w:rPr>
          <w:sz w:val="24"/>
          <w:szCs w:val="24"/>
        </w:rPr>
        <w:t>Laboratory of Environmental Chemome</w:t>
      </w:r>
      <w:r w:rsidR="00D21715">
        <w:rPr>
          <w:sz w:val="24"/>
          <w:szCs w:val="24"/>
        </w:rPr>
        <w:t>t</w:t>
      </w:r>
      <w:r w:rsidR="00D21715" w:rsidRPr="00087ACE">
        <w:rPr>
          <w:sz w:val="24"/>
          <w:szCs w:val="24"/>
        </w:rPr>
        <w:t>rics, Faculty of Chemistry, University of Gdansk, WitaStwosza 63, Gdansk, 80</w:t>
      </w:r>
      <w:r w:rsidR="00D21715">
        <w:rPr>
          <w:sz w:val="24"/>
          <w:szCs w:val="24"/>
        </w:rPr>
        <w:t>–</w:t>
      </w:r>
      <w:r w:rsidR="00D21715" w:rsidRPr="00087ACE">
        <w:rPr>
          <w:sz w:val="24"/>
          <w:szCs w:val="24"/>
        </w:rPr>
        <w:t>308 Poland</w:t>
      </w:r>
    </w:p>
    <w:p w:rsidR="00D21715" w:rsidRPr="0080481B" w:rsidRDefault="00D21715" w:rsidP="00D21715">
      <w:pPr>
        <w:jc w:val="center"/>
        <w:rPr>
          <w:sz w:val="24"/>
          <w:szCs w:val="24"/>
        </w:rPr>
      </w:pPr>
      <w:r>
        <w:rPr>
          <w:sz w:val="24"/>
          <w:szCs w:val="24"/>
          <w:vertAlign w:val="superscript"/>
        </w:rPr>
        <w:t>2</w:t>
      </w:r>
      <w:r w:rsidRPr="0080481B">
        <w:rPr>
          <w:sz w:val="24"/>
          <w:szCs w:val="24"/>
        </w:rPr>
        <w:t>Department of Chemistry, North Eastern Hill University, Shillong 793 022, Meghalaya, India</w:t>
      </w:r>
    </w:p>
    <w:p w:rsidR="00D21715" w:rsidRPr="0031139F" w:rsidRDefault="00D21715" w:rsidP="00D21715">
      <w:pPr>
        <w:jc w:val="center"/>
        <w:rPr>
          <w:sz w:val="24"/>
          <w:szCs w:val="24"/>
        </w:rPr>
      </w:pPr>
      <w:r>
        <w:rPr>
          <w:sz w:val="24"/>
          <w:szCs w:val="24"/>
          <w:vertAlign w:val="superscript"/>
        </w:rPr>
        <w:t>3</w:t>
      </w:r>
      <w:r w:rsidRPr="0031139F">
        <w:rPr>
          <w:sz w:val="24"/>
          <w:szCs w:val="24"/>
        </w:rPr>
        <w:t xml:space="preserve">Department of Chemistry, Vel Tech Rangarajan </w:t>
      </w:r>
      <w:r>
        <w:rPr>
          <w:sz w:val="24"/>
          <w:szCs w:val="24"/>
        </w:rPr>
        <w:t>Dr</w:t>
      </w:r>
      <w:r w:rsidRPr="0031139F">
        <w:rPr>
          <w:sz w:val="24"/>
          <w:szCs w:val="24"/>
        </w:rPr>
        <w:t>Sagunthala R &amp; D Institute of Science and Technology, Avadi, Chennai-600 062, Tamil Nadu, India</w:t>
      </w:r>
      <w:r>
        <w:rPr>
          <w:sz w:val="24"/>
          <w:szCs w:val="24"/>
        </w:rPr>
        <w:t>.</w:t>
      </w:r>
    </w:p>
    <w:p w:rsidR="00053A84" w:rsidRDefault="00257117">
      <w:pPr>
        <w:pStyle w:val="BodyText"/>
        <w:jc w:val="center"/>
      </w:pPr>
      <w:r>
        <w:t xml:space="preserve">*Corresponding author, Email: </w:t>
      </w:r>
      <w:r w:rsidR="00080CAA" w:rsidRPr="00080CAA">
        <w:t>mvelusamy@gmail.com</w:t>
      </w:r>
    </w:p>
    <w:p w:rsidR="00053A84" w:rsidRDefault="00053A84">
      <w:pPr>
        <w:pStyle w:val="BodyText"/>
        <w:ind w:left="239" w:right="238"/>
        <w:jc w:val="center"/>
      </w:pPr>
    </w:p>
    <w:p w:rsidR="00080CAA" w:rsidRPr="00080CAA" w:rsidRDefault="00080CAA" w:rsidP="00080CAA">
      <w:pPr>
        <w:spacing w:line="276" w:lineRule="auto"/>
        <w:jc w:val="both"/>
        <w:rPr>
          <w:b/>
          <w:bCs/>
        </w:rPr>
      </w:pPr>
      <w:r w:rsidRPr="00080CAA">
        <w:t xml:space="preserve">The work was developed to study the interaction of bovine serum albumin with potent new pyrene derivatives (PS1 and PS2), such as N'-pyrene-1-ylmethylene-hydrazine-carbodithioic acid methyl ester (PS1) and N'-pyrene-1-ylmethylene-hydrazine-carbodithioic acid benzyl ester (PS2), leading to a better understanding of the binding mechanism in truly drug-based applications. </w:t>
      </w:r>
      <w:r w:rsidRPr="00080CAA">
        <w:rPr>
          <w:color w:val="000000" w:themeColor="text1"/>
        </w:rPr>
        <w:t>W</w:t>
      </w:r>
      <w:r w:rsidRPr="00080CAA">
        <w:t>here R= Me/-CH</w:t>
      </w:r>
      <w:r w:rsidRPr="00080CAA">
        <w:rPr>
          <w:vertAlign w:val="subscript"/>
        </w:rPr>
        <w:t>2</w:t>
      </w:r>
      <w:r w:rsidRPr="00080CAA">
        <w:t xml:space="preserve">-Ph is described using bovine serum albumin (BSA) as the medium. From the steady-state fluorescence spectroscopy and fluorescence lifetime-based studies, the binding mode of interaction and binding constants are </w:t>
      </w:r>
      <w:r w:rsidRPr="00080CAA">
        <w:rPr>
          <w:u w:val="single"/>
        </w:rPr>
        <w:t>both 1.12</w:t>
      </w:r>
      <w:r w:rsidRPr="00080CAA">
        <w:rPr>
          <w:color w:val="E36C0A" w:themeColor="accent6" w:themeShade="BF"/>
        </w:rPr>
        <w:t>.</w:t>
      </w:r>
      <w:r w:rsidRPr="00080CAA">
        <w:t xml:space="preserve"> The experimental results showed that static type interaction play a crucial role in the interaction of the pyrene derivatives with BSA protein. Furthermore, molecular docking and molecular dynamics simulations were performed to predict the mode of interaction and the dynamic behaviour of the two BSA complex dyes PS1 and PS2. Moreover, the free energies of binding for the BSA-PS1 and BSA-PS2 complexes were estimated at 300 K based on the molecular mechanics of Poisson-Boltzmann surface (MMPBSA) with the Gromacs package. It was found that the </w:t>
      </w:r>
      <w:r w:rsidRPr="00080CAA">
        <w:rPr>
          <w:strike/>
        </w:rPr>
        <w:t>pyrene derivatives of</w:t>
      </w:r>
      <w:r w:rsidRPr="00080CAA">
        <w:t xml:space="preserve"> PS2 have a higher binding affinity than PS1. To find out the behaviour of orbital transitions in the ground state geometry, we found that both dyes have similar behaviour of orbital transitions of HOMO-LUMO from п→п* and HOMO -1-LUMO+1 from n→п*, which was included in the FMO analysis. A cytotoxicity study was performed to determine the toxicity of the dyes. PS2 is more toxic than PS1, and our approaches correlated well with the empirical data. </w:t>
      </w:r>
      <w:r w:rsidRPr="00080CAA">
        <w:rPr>
          <w:color w:val="000000" w:themeColor="text1"/>
        </w:rPr>
        <w:t>The computer simulations confirmed the results of the experimental studies. This study may be useful to understand the combined toxic effects of PS1 and PS2 on proteins at the molecular level.</w:t>
      </w:r>
    </w:p>
    <w:p w:rsidR="00053A84" w:rsidRDefault="00257117">
      <w:pPr>
        <w:spacing w:line="276" w:lineRule="auto"/>
        <w:rPr>
          <w:sz w:val="18"/>
          <w:szCs w:val="18"/>
        </w:rPr>
      </w:pPr>
      <w:r>
        <w:rPr>
          <w:b/>
        </w:rPr>
        <w:t>References</w:t>
      </w:r>
      <w:r w:rsidR="00080CAA">
        <w:rPr>
          <w:sz w:val="18"/>
          <w:szCs w:val="18"/>
        </w:rPr>
        <w:t xml:space="preserve"> </w:t>
      </w:r>
      <w:r>
        <w:rPr>
          <w:sz w:val="18"/>
          <w:szCs w:val="18"/>
        </w:rPr>
        <w:t>}</w:t>
      </w:r>
    </w:p>
    <w:p w:rsidR="00080CAA" w:rsidRPr="00080CAA" w:rsidRDefault="00080CAA" w:rsidP="00080CAA">
      <w:pPr>
        <w:jc w:val="both"/>
        <w:rPr>
          <w:sz w:val="18"/>
          <w:szCs w:val="18"/>
        </w:rPr>
      </w:pPr>
      <w:r w:rsidRPr="00080CAA">
        <w:rPr>
          <w:sz w:val="18"/>
          <w:szCs w:val="18"/>
        </w:rPr>
        <w:t xml:space="preserve">1. Royer, C.A. Probing Protein Folding and Conformational Transitions with Fluorescence. Chem. Rev. 2006, 106, 1769-1784, https://doi.org/10.1021/cr0404390. </w:t>
      </w:r>
    </w:p>
    <w:p w:rsidR="00080CAA" w:rsidRPr="00080CAA" w:rsidRDefault="00080CAA" w:rsidP="00080CAA">
      <w:pPr>
        <w:rPr>
          <w:sz w:val="18"/>
          <w:szCs w:val="18"/>
        </w:rPr>
      </w:pPr>
      <w:r w:rsidRPr="00080CAA">
        <w:rPr>
          <w:sz w:val="18"/>
          <w:szCs w:val="18"/>
        </w:rPr>
        <w:t>2. Cohen, B.E.; McAnaney, T.B.; Park, E.S.; Jan, Y.N.; Boxer, S.G.; Jan, L.Y. Probing Protein Electrostatics with a Synthetic Fluorescent Amino Acid. Science 2002, 296, 1700, https://doi.org/10.1126/science.1069346</w:t>
      </w:r>
    </w:p>
    <w:p w:rsidR="00053A84" w:rsidRDefault="00053A84">
      <w:pPr>
        <w:pStyle w:val="BodyText"/>
        <w:spacing w:line="276" w:lineRule="auto"/>
        <w:rPr>
          <w:sz w:val="22"/>
          <w:szCs w:val="22"/>
        </w:rPr>
      </w:pPr>
    </w:p>
    <w:p w:rsidR="00D813DE" w:rsidRDefault="00D813DE">
      <w:pPr>
        <w:pStyle w:val="BodyText"/>
        <w:spacing w:line="276" w:lineRule="auto"/>
        <w:rPr>
          <w:sz w:val="22"/>
          <w:szCs w:val="22"/>
        </w:rPr>
      </w:pPr>
    </w:p>
    <w:p w:rsidR="00053A84" w:rsidRDefault="00053A84">
      <w:pPr>
        <w:pStyle w:val="BodyText"/>
        <w:spacing w:line="276" w:lineRule="auto"/>
        <w:rPr>
          <w:sz w:val="22"/>
          <w:szCs w:val="22"/>
        </w:rPr>
      </w:pPr>
    </w:p>
    <w:p w:rsidR="00D813DE" w:rsidRDefault="00D813DE">
      <w:pPr>
        <w:pStyle w:val="BodyText"/>
        <w:spacing w:line="276" w:lineRule="auto"/>
        <w:rPr>
          <w:sz w:val="22"/>
          <w:szCs w:val="22"/>
        </w:rPr>
      </w:pPr>
      <w:r w:rsidRPr="00D813DE">
        <w:rPr>
          <w:noProof/>
          <w:sz w:val="22"/>
          <w:szCs w:val="22"/>
          <w:lang w:val="en-IN" w:eastAsia="en-IN" w:bidi="bn-BD"/>
        </w:rPr>
        <w:lastRenderedPageBreak/>
        <w:drawing>
          <wp:inline distT="0" distB="0" distL="0" distR="0">
            <wp:extent cx="2965107" cy="2396913"/>
            <wp:effectExtent l="19050" t="0" r="669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b="2030"/>
                    <a:stretch>
                      <a:fillRect/>
                    </a:stretch>
                  </pic:blipFill>
                  <pic:spPr bwMode="auto">
                    <a:xfrm>
                      <a:off x="0" y="0"/>
                      <a:ext cx="2970658" cy="2401401"/>
                    </a:xfrm>
                    <a:prstGeom prst="rect">
                      <a:avLst/>
                    </a:prstGeom>
                    <a:noFill/>
                    <a:ln w="9525">
                      <a:noFill/>
                      <a:miter lim="800000"/>
                      <a:headEnd/>
                      <a:tailEnd/>
                    </a:ln>
                  </pic:spPr>
                </pic:pic>
              </a:graphicData>
            </a:graphic>
          </wp:inline>
        </w:drawing>
      </w:r>
      <w:r w:rsidRPr="00D813DE">
        <w:rPr>
          <w:sz w:val="22"/>
          <w:szCs w:val="22"/>
        </w:rPr>
        <w:drawing>
          <wp:inline distT="0" distB="0" distL="0" distR="0">
            <wp:extent cx="2989821" cy="2397211"/>
            <wp:effectExtent l="19050" t="0" r="1029"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flipV="1">
                      <a:off x="0" y="0"/>
                      <a:ext cx="2990509" cy="2397763"/>
                    </a:xfrm>
                    <a:prstGeom prst="rect">
                      <a:avLst/>
                    </a:prstGeom>
                    <a:noFill/>
                    <a:ln w="9525">
                      <a:noFill/>
                      <a:miter lim="800000"/>
                      <a:headEnd/>
                      <a:tailEnd/>
                    </a:ln>
                  </pic:spPr>
                </pic:pic>
              </a:graphicData>
            </a:graphic>
          </wp:inline>
        </w:drawing>
      </w:r>
    </w:p>
    <w:p w:rsidR="00D813DE" w:rsidRDefault="00D813DE">
      <w:pPr>
        <w:pStyle w:val="BodyText"/>
        <w:spacing w:line="276" w:lineRule="auto"/>
        <w:rPr>
          <w:sz w:val="22"/>
          <w:szCs w:val="22"/>
        </w:rPr>
      </w:pPr>
    </w:p>
    <w:p w:rsidR="00D813DE" w:rsidRDefault="00D813DE">
      <w:pPr>
        <w:pStyle w:val="BodyText"/>
        <w:spacing w:line="276" w:lineRule="auto"/>
        <w:rPr>
          <w:sz w:val="22"/>
          <w:szCs w:val="22"/>
        </w:rPr>
      </w:pPr>
    </w:p>
    <w:p w:rsidR="00D813DE" w:rsidRDefault="00D813DE">
      <w:pPr>
        <w:pStyle w:val="BodyText"/>
        <w:spacing w:line="276" w:lineRule="auto"/>
        <w:rPr>
          <w:sz w:val="22"/>
          <w:szCs w:val="22"/>
        </w:rPr>
      </w:pPr>
    </w:p>
    <w:p w:rsidR="00D813DE" w:rsidRPr="0000436A" w:rsidRDefault="00257117" w:rsidP="00D813DE">
      <w:pPr>
        <w:adjustRightInd w:val="0"/>
        <w:jc w:val="both"/>
        <w:rPr>
          <w:sz w:val="20"/>
          <w:szCs w:val="20"/>
        </w:rPr>
      </w:pPr>
      <w:r>
        <w:t>Figure 1</w:t>
      </w:r>
      <w:r w:rsidR="00D813DE" w:rsidRPr="0000436A">
        <w:rPr>
          <w:sz w:val="20"/>
          <w:szCs w:val="20"/>
        </w:rPr>
        <w:t>. (a) BSA fluorescence quenching spectra with various concentrations of PS2, (b) Stern-Volmer plot for fluorescence quenching, (c)plot between log(F</w:t>
      </w:r>
      <w:r w:rsidR="00D813DE" w:rsidRPr="0000436A">
        <w:rPr>
          <w:sz w:val="20"/>
          <w:szCs w:val="20"/>
          <w:vertAlign w:val="subscript"/>
        </w:rPr>
        <w:t>0</w:t>
      </w:r>
      <w:r w:rsidR="00D813DE" w:rsidRPr="0000436A">
        <w:rPr>
          <w:sz w:val="20"/>
          <w:szCs w:val="20"/>
        </w:rPr>
        <w:t>-F)/F and log [Q].</w:t>
      </w:r>
      <w:r w:rsidR="00D813DE">
        <w:rPr>
          <w:sz w:val="20"/>
          <w:szCs w:val="20"/>
        </w:rPr>
        <w:t xml:space="preserve"> </w:t>
      </w:r>
      <w:r w:rsidR="00D813DE" w:rsidRPr="00D813DE">
        <w:rPr>
          <w:bCs/>
          <w:sz w:val="20"/>
          <w:szCs w:val="20"/>
        </w:rPr>
        <w:t xml:space="preserve">Figure </w:t>
      </w:r>
      <w:r w:rsidR="00D813DE">
        <w:rPr>
          <w:bCs/>
          <w:sz w:val="20"/>
          <w:szCs w:val="20"/>
        </w:rPr>
        <w:t>2</w:t>
      </w:r>
      <w:r w:rsidR="00D813DE" w:rsidRPr="00D813DE">
        <w:rPr>
          <w:sz w:val="20"/>
          <w:szCs w:val="20"/>
        </w:rPr>
        <w:t>: Interaction of BSAwith(a)PS1 and(b)PS2</w:t>
      </w:r>
    </w:p>
    <w:p w:rsidR="00053A84" w:rsidRDefault="00053A84">
      <w:pPr>
        <w:pStyle w:val="Heading1"/>
        <w:spacing w:line="276" w:lineRule="auto"/>
        <w:ind w:left="242"/>
        <w:rPr>
          <w:b w:val="0"/>
          <w:sz w:val="22"/>
          <w:szCs w:val="22"/>
        </w:rPr>
      </w:pPr>
    </w:p>
    <w:p w:rsidR="00053A84" w:rsidRDefault="00053A84">
      <w:pPr>
        <w:spacing w:line="276" w:lineRule="auto"/>
      </w:pPr>
    </w:p>
    <w:p w:rsidR="00053A84" w:rsidRDefault="00053A84">
      <w:pPr>
        <w:ind w:left="374" w:hanging="374"/>
        <w:jc w:val="both"/>
        <w:rPr>
          <w:bCs/>
          <w:sz w:val="18"/>
          <w:szCs w:val="18"/>
        </w:rPr>
      </w:pPr>
    </w:p>
    <w:p w:rsidR="00053A84" w:rsidRDefault="00053A84">
      <w:pPr>
        <w:ind w:left="374" w:hanging="374"/>
        <w:jc w:val="both"/>
        <w:rPr>
          <w:b/>
          <w:sz w:val="18"/>
          <w:szCs w:val="18"/>
        </w:rPr>
      </w:pPr>
    </w:p>
    <w:p w:rsidR="00053A84" w:rsidRDefault="00053A84">
      <w:pPr>
        <w:ind w:left="374" w:hanging="374"/>
        <w:jc w:val="both"/>
        <w:rPr>
          <w:b/>
          <w:sz w:val="18"/>
          <w:szCs w:val="18"/>
        </w:rPr>
      </w:pPr>
    </w:p>
    <w:sectPr w:rsidR="00053A84" w:rsidSect="00053A84">
      <w:headerReference w:type="default" r:id="rId9"/>
      <w:footerReference w:type="default" r:id="rId10"/>
      <w:pgSz w:w="12240" w:h="15840"/>
      <w:pgMar w:top="1360" w:right="1220" w:bottom="280" w:left="12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7117" w:rsidRDefault="00257117">
      <w:r>
        <w:separator/>
      </w:r>
    </w:p>
  </w:endnote>
  <w:endnote w:type="continuationSeparator" w:id="1">
    <w:p w:rsidR="00257117" w:rsidRDefault="0025711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5472797"/>
      <w:docPartObj>
        <w:docPartGallery w:val="Page Numbers (Bottom of Page)"/>
        <w:docPartUnique/>
      </w:docPartObj>
    </w:sdtPr>
    <w:sdtContent>
      <w:sdt>
        <w:sdtPr>
          <w:id w:val="-1705238520"/>
          <w:docPartObj>
            <w:docPartGallery w:val="Page Numbers (Top of Page)"/>
            <w:docPartUnique/>
          </w:docPartObj>
        </w:sdtPr>
        <w:sdtContent>
          <w:p w:rsidR="00053A84" w:rsidRDefault="00257117">
            <w:pPr>
              <w:pStyle w:val="Footer"/>
            </w:pPr>
            <w:r>
              <w:t xml:space="preserve">Page </w:t>
            </w:r>
            <w:r w:rsidR="00053A84">
              <w:rPr>
                <w:b/>
                <w:bCs/>
                <w:sz w:val="24"/>
                <w:szCs w:val="24"/>
              </w:rPr>
              <w:fldChar w:fldCharType="begin"/>
            </w:r>
            <w:r>
              <w:rPr>
                <w:b/>
                <w:bCs/>
              </w:rPr>
              <w:instrText xml:space="preserve"> PAGE </w:instrText>
            </w:r>
            <w:r w:rsidR="00053A84">
              <w:rPr>
                <w:b/>
                <w:bCs/>
                <w:sz w:val="24"/>
                <w:szCs w:val="24"/>
              </w:rPr>
              <w:fldChar w:fldCharType="separate"/>
            </w:r>
            <w:r w:rsidR="00E563BA">
              <w:rPr>
                <w:b/>
                <w:bCs/>
                <w:noProof/>
              </w:rPr>
              <w:t>1</w:t>
            </w:r>
            <w:r w:rsidR="00053A84">
              <w:rPr>
                <w:b/>
                <w:bCs/>
                <w:sz w:val="24"/>
                <w:szCs w:val="24"/>
              </w:rPr>
              <w:fldChar w:fldCharType="end"/>
            </w:r>
            <w:r>
              <w:t xml:space="preserve"> of </w:t>
            </w:r>
            <w:r w:rsidR="00053A84">
              <w:rPr>
                <w:b/>
                <w:bCs/>
                <w:sz w:val="24"/>
                <w:szCs w:val="24"/>
              </w:rPr>
              <w:fldChar w:fldCharType="begin"/>
            </w:r>
            <w:r>
              <w:rPr>
                <w:b/>
                <w:bCs/>
              </w:rPr>
              <w:instrText xml:space="preserve"> NUMPAGES  </w:instrText>
            </w:r>
            <w:r w:rsidR="00053A84">
              <w:rPr>
                <w:b/>
                <w:bCs/>
                <w:sz w:val="24"/>
                <w:szCs w:val="24"/>
              </w:rPr>
              <w:fldChar w:fldCharType="separate"/>
            </w:r>
            <w:r w:rsidR="00E563BA">
              <w:rPr>
                <w:b/>
                <w:bCs/>
                <w:noProof/>
              </w:rPr>
              <w:t>2</w:t>
            </w:r>
            <w:r w:rsidR="00053A84">
              <w:rPr>
                <w:b/>
                <w:bCs/>
                <w:sz w:val="24"/>
                <w:szCs w:val="24"/>
              </w:rPr>
              <w:fldChar w:fldCharType="end"/>
            </w:r>
          </w:p>
        </w:sdtContent>
      </w:sdt>
    </w:sdtContent>
  </w:sdt>
  <w:p w:rsidR="00053A84" w:rsidRDefault="00053A8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7117" w:rsidRDefault="00257117">
      <w:r>
        <w:separator/>
      </w:r>
    </w:p>
  </w:footnote>
  <w:footnote w:type="continuationSeparator" w:id="1">
    <w:p w:rsidR="00257117" w:rsidRDefault="002571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3A84" w:rsidRDefault="00257117">
    <w:pPr>
      <w:pStyle w:val="Header"/>
      <w:rPr>
        <w:b/>
      </w:rPr>
    </w:pPr>
    <w:r>
      <w:rPr>
        <w:b/>
      </w:rPr>
      <w:t>North-East Research Conclave</w:t>
    </w:r>
  </w:p>
  <w:p w:rsidR="00053A84" w:rsidRDefault="00257117">
    <w:pPr>
      <w:pStyle w:val="Header"/>
      <w:rPr>
        <w:sz w:val="18"/>
        <w:szCs w:val="18"/>
      </w:rPr>
    </w:pPr>
    <w:r>
      <w:rPr>
        <w:b/>
        <w:sz w:val="18"/>
        <w:szCs w:val="18"/>
      </w:rPr>
      <w:t>Sustainable Science and Technology</w:t>
    </w:r>
    <w:r>
      <w:ptab w:relativeTo="margin" w:alignment="center" w:leader="none"/>
    </w:r>
    <w:r>
      <w:rPr>
        <w:b/>
      </w:rPr>
      <w:t xml:space="preserve">Extended Abstract </w:t>
    </w:r>
    <w:r>
      <w:rPr>
        <w:b/>
      </w:rPr>
      <w:ptab w:relativeTo="margin" w:alignment="right" w:leader="none"/>
    </w:r>
    <w:r>
      <w:rPr>
        <w:b/>
      </w:rPr>
      <w:t>May 20-22, 2022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A3A4A"/>
    <w:multiLevelType w:val="hybridMultilevel"/>
    <w:tmpl w:val="DD547720"/>
    <w:lvl w:ilvl="0" w:tplc="A6B60A00">
      <w:start w:val="1"/>
      <w:numFmt w:val="lowerLetter"/>
      <w:lvlText w:val="%1)"/>
      <w:lvlJc w:val="left"/>
      <w:pPr>
        <w:ind w:left="940" w:hanging="360"/>
      </w:pPr>
      <w:rPr>
        <w:rFonts w:ascii="Times New Roman" w:eastAsia="Times New Roman" w:hAnsi="Times New Roman" w:cs="Times New Roman" w:hint="default"/>
        <w:spacing w:val="-30"/>
        <w:w w:val="99"/>
        <w:sz w:val="24"/>
        <w:szCs w:val="24"/>
        <w:lang w:val="en-US" w:eastAsia="en-US" w:bidi="ar-SA"/>
      </w:rPr>
    </w:lvl>
    <w:lvl w:ilvl="1" w:tplc="0442B208">
      <w:numFmt w:val="bullet"/>
      <w:lvlText w:val="•"/>
      <w:lvlJc w:val="left"/>
      <w:pPr>
        <w:ind w:left="1826" w:hanging="360"/>
      </w:pPr>
      <w:rPr>
        <w:rFonts w:hint="default"/>
        <w:lang w:val="en-US" w:eastAsia="en-US" w:bidi="ar-SA"/>
      </w:rPr>
    </w:lvl>
    <w:lvl w:ilvl="2" w:tplc="846ED860">
      <w:numFmt w:val="bullet"/>
      <w:lvlText w:val="•"/>
      <w:lvlJc w:val="left"/>
      <w:pPr>
        <w:ind w:left="2712" w:hanging="360"/>
      </w:pPr>
      <w:rPr>
        <w:rFonts w:hint="default"/>
        <w:lang w:val="en-US" w:eastAsia="en-US" w:bidi="ar-SA"/>
      </w:rPr>
    </w:lvl>
    <w:lvl w:ilvl="3" w:tplc="764E0B4A">
      <w:numFmt w:val="bullet"/>
      <w:lvlText w:val="•"/>
      <w:lvlJc w:val="left"/>
      <w:pPr>
        <w:ind w:left="3598" w:hanging="360"/>
      </w:pPr>
      <w:rPr>
        <w:rFonts w:hint="default"/>
        <w:lang w:val="en-US" w:eastAsia="en-US" w:bidi="ar-SA"/>
      </w:rPr>
    </w:lvl>
    <w:lvl w:ilvl="4" w:tplc="7136B89A">
      <w:numFmt w:val="bullet"/>
      <w:lvlText w:val="•"/>
      <w:lvlJc w:val="left"/>
      <w:pPr>
        <w:ind w:left="4484" w:hanging="360"/>
      </w:pPr>
      <w:rPr>
        <w:rFonts w:hint="default"/>
        <w:lang w:val="en-US" w:eastAsia="en-US" w:bidi="ar-SA"/>
      </w:rPr>
    </w:lvl>
    <w:lvl w:ilvl="5" w:tplc="82907044">
      <w:numFmt w:val="bullet"/>
      <w:lvlText w:val="•"/>
      <w:lvlJc w:val="left"/>
      <w:pPr>
        <w:ind w:left="5370" w:hanging="360"/>
      </w:pPr>
      <w:rPr>
        <w:rFonts w:hint="default"/>
        <w:lang w:val="en-US" w:eastAsia="en-US" w:bidi="ar-SA"/>
      </w:rPr>
    </w:lvl>
    <w:lvl w:ilvl="6" w:tplc="6C603A6E">
      <w:numFmt w:val="bullet"/>
      <w:lvlText w:val="•"/>
      <w:lvlJc w:val="left"/>
      <w:pPr>
        <w:ind w:left="6256" w:hanging="360"/>
      </w:pPr>
      <w:rPr>
        <w:rFonts w:hint="default"/>
        <w:lang w:val="en-US" w:eastAsia="en-US" w:bidi="ar-SA"/>
      </w:rPr>
    </w:lvl>
    <w:lvl w:ilvl="7" w:tplc="1AAA52EA">
      <w:numFmt w:val="bullet"/>
      <w:lvlText w:val="•"/>
      <w:lvlJc w:val="left"/>
      <w:pPr>
        <w:ind w:left="7142" w:hanging="360"/>
      </w:pPr>
      <w:rPr>
        <w:rFonts w:hint="default"/>
        <w:lang w:val="en-US" w:eastAsia="en-US" w:bidi="ar-SA"/>
      </w:rPr>
    </w:lvl>
    <w:lvl w:ilvl="8" w:tplc="6F2E9206">
      <w:numFmt w:val="bullet"/>
      <w:lvlText w:val="•"/>
      <w:lvlJc w:val="left"/>
      <w:pPr>
        <w:ind w:left="8028"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4"/>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053A84"/>
    <w:rsid w:val="00053A84"/>
    <w:rsid w:val="00080CAA"/>
    <w:rsid w:val="00257117"/>
    <w:rsid w:val="00D21715"/>
    <w:rsid w:val="00D813DE"/>
    <w:rsid w:val="00E563BA"/>
  </w:rsids>
  <m:mathPr>
    <m:mathFont m:val="Cambria Math"/>
    <m:brkBin m:val="before"/>
    <m:brkBinSub m:val="--"/>
    <m:smallFrac/>
    <m:dispDef/>
    <m:lMargin m:val="0"/>
    <m:rMargin m:val="0"/>
    <m:defJc m:val="centerGroup"/>
    <m:wrapIndent m:val="1440"/>
    <m:intLim m:val="subSup"/>
    <m:naryLim m:val="undOvr"/>
  </m:mathPr>
  <w:themeFontLang w:val="en-I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53A84"/>
    <w:rPr>
      <w:rFonts w:ascii="Times New Roman" w:eastAsia="Times New Roman" w:hAnsi="Times New Roman" w:cs="Times New Roman"/>
    </w:rPr>
  </w:style>
  <w:style w:type="paragraph" w:styleId="Heading1">
    <w:name w:val="heading 1"/>
    <w:basedOn w:val="Normal"/>
    <w:uiPriority w:val="1"/>
    <w:qFormat/>
    <w:rsid w:val="00053A84"/>
    <w:pPr>
      <w:ind w:left="220" w:right="238"/>
      <w:jc w:val="center"/>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53A84"/>
    <w:rPr>
      <w:sz w:val="24"/>
      <w:szCs w:val="24"/>
    </w:rPr>
  </w:style>
  <w:style w:type="paragraph" w:styleId="Title">
    <w:name w:val="Title"/>
    <w:basedOn w:val="Normal"/>
    <w:uiPriority w:val="1"/>
    <w:qFormat/>
    <w:rsid w:val="00053A84"/>
    <w:pPr>
      <w:spacing w:before="76"/>
      <w:ind w:left="204" w:right="238"/>
      <w:jc w:val="center"/>
    </w:pPr>
    <w:rPr>
      <w:rFonts w:ascii="Arial" w:eastAsia="Arial" w:hAnsi="Arial" w:cs="Arial"/>
      <w:b/>
      <w:bCs/>
      <w:sz w:val="28"/>
      <w:szCs w:val="28"/>
    </w:rPr>
  </w:style>
  <w:style w:type="paragraph" w:styleId="ListParagraph">
    <w:name w:val="List Paragraph"/>
    <w:basedOn w:val="Normal"/>
    <w:uiPriority w:val="1"/>
    <w:qFormat/>
    <w:rsid w:val="00053A84"/>
    <w:pPr>
      <w:spacing w:before="1"/>
      <w:ind w:left="940" w:right="218" w:hanging="360"/>
      <w:jc w:val="both"/>
    </w:pPr>
  </w:style>
  <w:style w:type="paragraph" w:customStyle="1" w:styleId="TableParagraph">
    <w:name w:val="Table Paragraph"/>
    <w:basedOn w:val="Normal"/>
    <w:uiPriority w:val="1"/>
    <w:qFormat/>
    <w:rsid w:val="00053A84"/>
    <w:pPr>
      <w:spacing w:before="1"/>
      <w:ind w:left="95" w:right="90"/>
      <w:jc w:val="center"/>
    </w:pPr>
  </w:style>
  <w:style w:type="paragraph" w:styleId="Header">
    <w:name w:val="header"/>
    <w:basedOn w:val="Normal"/>
    <w:link w:val="HeaderChar"/>
    <w:uiPriority w:val="99"/>
    <w:unhideWhenUsed/>
    <w:rsid w:val="00053A84"/>
    <w:pPr>
      <w:tabs>
        <w:tab w:val="center" w:pos="4680"/>
        <w:tab w:val="right" w:pos="9360"/>
      </w:tabs>
    </w:pPr>
  </w:style>
  <w:style w:type="character" w:customStyle="1" w:styleId="HeaderChar">
    <w:name w:val="Header Char"/>
    <w:basedOn w:val="DefaultParagraphFont"/>
    <w:link w:val="Header"/>
    <w:uiPriority w:val="99"/>
    <w:rsid w:val="00053A84"/>
    <w:rPr>
      <w:rFonts w:ascii="Times New Roman" w:eastAsia="Times New Roman" w:hAnsi="Times New Roman" w:cs="Times New Roman"/>
    </w:rPr>
  </w:style>
  <w:style w:type="paragraph" w:styleId="Footer">
    <w:name w:val="footer"/>
    <w:basedOn w:val="Normal"/>
    <w:link w:val="FooterChar"/>
    <w:uiPriority w:val="99"/>
    <w:unhideWhenUsed/>
    <w:rsid w:val="00053A84"/>
    <w:pPr>
      <w:tabs>
        <w:tab w:val="center" w:pos="4680"/>
        <w:tab w:val="right" w:pos="9360"/>
      </w:tabs>
    </w:pPr>
  </w:style>
  <w:style w:type="character" w:customStyle="1" w:styleId="FooterChar">
    <w:name w:val="Footer Char"/>
    <w:basedOn w:val="DefaultParagraphFont"/>
    <w:link w:val="Footer"/>
    <w:uiPriority w:val="99"/>
    <w:rsid w:val="00053A84"/>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813DE"/>
    <w:rPr>
      <w:rFonts w:ascii="Tahoma" w:hAnsi="Tahoma" w:cs="Tahoma"/>
      <w:sz w:val="16"/>
      <w:szCs w:val="16"/>
    </w:rPr>
  </w:style>
  <w:style w:type="character" w:customStyle="1" w:styleId="BalloonTextChar">
    <w:name w:val="Balloon Text Char"/>
    <w:basedOn w:val="DefaultParagraphFont"/>
    <w:link w:val="BalloonText"/>
    <w:uiPriority w:val="99"/>
    <w:semiHidden/>
    <w:rsid w:val="00D813DE"/>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478</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Laser bending is a process of bending a sheet by the irradiation of laser beam on the surface of the sheet</vt:lpstr>
    </vt:vector>
  </TitlesOfParts>
  <Company>Microsoft</Company>
  <LinksUpToDate>false</LinksUpToDate>
  <CharactersWithSpaces>3197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Laser bending is a process of bending a sheet by the irradiation of laser beam on the surface of the sheet</dc:title>
  <dc:creator>Raghu Echempati</dc:creator>
  <cp:lastModifiedBy>r</cp:lastModifiedBy>
  <cp:revision>3</cp:revision>
  <dcterms:created xsi:type="dcterms:W3CDTF">2022-03-22T07:40:00Z</dcterms:created>
  <dcterms:modified xsi:type="dcterms:W3CDTF">2022-03-22T07:40:00Z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2013-12-02T00:00:00Z</vt:filetime>
  </property>
  <property fmtid="{D5CDD505-2E9C-101B-9397-08002B2CF9AE}" pid="3" name="Creator">
    <vt:lpwstr>Microsoft® Office Word 2007</vt:lpwstr>
  </property>
  <property fmtid="{D5CDD505-2E9C-101B-9397-08002B2CF9AE}" pid="4" name="LastSaved">
    <vt:filetime>2022-03-05T00:00:00Z</vt:filetime>
  </property>
</Properties>
</file>