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Evaluative Report</w:t>
      </w:r>
    </w:p>
    <w:p>
      <w:pPr>
        <w:spacing w:after="200"/>
        <w:jc w:val="center"/>
      </w:pPr>
      <w:r>
        <w:rPr>
          <w:color w:val="1F3864"/>
          <w:sz w:val="36"/>
          <w:szCs w:val="36"/>
        </w:rPr>
        <w:t xml:space="preserve">Measuring the Impact of Digital Services in E-Governance</w:t>
      </w:r>
    </w:p>
    <w:p>
      <w:pPr>
        <w:pBdr>
          <w:bottom w:val="single" w:color="1F3864" w:sz="8" w:space="8"/>
        </w:pBdr>
        <w:spacing w:after="600"/>
        <w:jc w:val="center"/>
      </w:pPr>
      <w:r>
        <w:rPr>
          <w:i/>
          <w:iCs/>
          <w:sz w:val="24"/>
          <w:szCs w:val="24"/>
        </w:rPr>
        <w:t xml:space="preserve">Metrics, Evaluation Framework, Strategic Recommendations and Contingency Plans</w:t>
      </w:r>
    </w:p>
    <w:p>
      <w:pPr>
        <w:spacing w:after="80"/>
        <w:jc w:val="center"/>
      </w:pPr>
      <w:r>
        <w:rPr>
          <w:sz w:val="22"/>
          <w:szCs w:val="22"/>
        </w:rPr>
        <w:t xml:space="preserve">Capstone Task: Integrating Data Analysis with Strategic Planning</w:t>
      </w:r>
    </w:p>
    <w:p>
      <w:pPr>
        <w:jc w:val="center"/>
      </w:pPr>
      <w:r>
        <w:rPr>
          <w:sz w:val="22"/>
          <w:szCs w:val="22"/>
        </w:rPr>
        <w:t xml:space="preserve">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Digital services are now the main point of contact between citizens and government, yet many e-governance programmes are still judged by outputs (portals launched, forms digitised) rather than outcomes (time saved, people reached, trust gained). This report closes that gap. It defines a balanced set of success metrics, sets out a repeatable framework for collecting and interpreting them, links each metric to the analytical techniques used in earlier data analysis projects, and converts the resulting insights into prioritised, realistic recommendations.</w:t>
      </w:r>
    </w:p>
    <w:p>
      <w:pPr>
        <w:spacing w:after="120" w:line="276"/>
      </w:pPr>
      <w:r>
        <w:rPr>
          <w:b/>
          <w:bCs/>
        </w:rPr>
        <w:t xml:space="preserve">Key messages</w:t>
      </w:r>
    </w:p>
    <w:p>
      <w:pPr>
        <w:pStyle w:val="ListParagraph"/>
        <w:numPr>
          <w:ilvl w:val="0"/>
          <w:numId w:val="2"/>
        </w:numPr>
        <w:spacing w:after="60"/>
      </w:pPr>
      <w:r>
        <w:t xml:space="preserve">Twenty-four metrics across six dimensions (efficiency, accessibility, transparency, effectiveness, trust and security, and sustainability) give a complete picture of service impact. Each has a formula, data source, frequency and owner.</w:t>
      </w:r>
    </w:p>
    <w:p>
      <w:pPr>
        <w:pStyle w:val="ListParagraph"/>
        <w:numPr>
          <w:ilvl w:val="0"/>
          <w:numId w:val="2"/>
        </w:numPr>
        <w:spacing w:after="60"/>
      </w:pPr>
      <w:r>
        <w:t xml:space="preserve">A composite Digital Service Impact Index (DSII), scored 0–100, allows departments to be compared and progress to be tracked, while a red-amber-green (RAG) rule keeps interpretation consistent.</w:t>
      </w:r>
    </w:p>
    <w:p>
      <w:pPr>
        <w:pStyle w:val="ListParagraph"/>
        <w:numPr>
          <w:ilvl w:val="0"/>
          <w:numId w:val="2"/>
        </w:numPr>
        <w:spacing w:after="60"/>
      </w:pPr>
      <w:r>
        <w:t xml:space="preserve">Descriptive statistics, trend and cohort analysis, regression, clustering, text and sentiment analysis, and dashboarding each map to specific metrics, so every recommendation can be traced back to evidence.</w:t>
      </w:r>
    </w:p>
    <w:p>
      <w:pPr>
        <w:pStyle w:val="ListParagraph"/>
        <w:numPr>
          <w:ilvl w:val="0"/>
          <w:numId w:val="2"/>
        </w:numPr>
        <w:spacing w:after="60"/>
      </w:pPr>
      <w:r>
        <w:t xml:space="preserve">Eight recommendations are proposed, sequenced in three phases (0–3, 3–9 and 9–18 months), together with a risk register and contingency plans for each major threat.</w:t>
      </w:r>
    </w:p>
    <w:p>
      <w:pPr>
        <w:pStyle w:val="ListParagraph"/>
        <w:numPr>
          <w:ilvl w:val="0"/>
          <w:numId w:val="2"/>
        </w:numPr>
        <w:spacing w:after="60"/>
      </w:pPr>
      <w:r>
        <w:t xml:space="preserve">The evaluation work itself is planned to fit a 33-hour effort, with a feasibility rating for every recommendation.</w:t>
      </w:r>
    </w:p>
    <w:p>
      <w:pPr>
        <w:spacing w:after="160"/>
      </w:pPr>
      <w:r>
        <w:rPr>
          <w:i/>
          <w:iCs/>
          <w:color w:val="595959"/>
          <w:sz w:val="18"/>
          <w:szCs w:val="18"/>
        </w:rPr>
        <w:t xml:space="preserve">Note on figures: baseline values, targets and thresholds in this report are illustrative planning values. They should be replaced with the actual findings from the department's data analysis projects before the report is submitted for decision-making.</w:t>
      </w:r>
    </w:p>
    <w:p>
      <w:pPr>
        <w:pStyle w:val="Heading1"/>
      </w:pPr>
      <w:r>
        <w:t xml:space="preserve">2. Introduction and Scope</w:t>
      </w:r>
    </w:p>
    <w:p>
      <w:pPr>
        <w:pStyle w:val="Heading2"/>
      </w:pPr>
      <w:r>
        <w:t xml:space="preserve">2.1 Purpose</w:t>
      </w:r>
    </w:p>
    <w:p>
      <w:pPr>
        <w:spacing w:after="120" w:line="276"/>
      </w:pPr>
      <w:r>
        <w:t xml:space="preserve">The purpose is to build a measurement and improvement system for digital public services, so that analytical findings translate into policy and operational decisions rather than remaining as stand-alone reports.</w:t>
      </w:r>
    </w:p>
    <w:p>
      <w:pPr>
        <w:pStyle w:val="Heading2"/>
      </w:pPr>
      <w:r>
        <w:t xml:space="preserve">2.2 Scope</w:t>
      </w:r>
    </w:p>
    <w:p>
      <w:pPr>
        <w:spacing w:after="120" w:line="276"/>
      </w:pPr>
      <w:r>
        <w:t xml:space="preserve">The framework applies to transactional citizen-facing services (certificates, licences, benefit applications, payments, grievance redressal), information services (portals, open data) and the back-office workflows that support them. It is designed to be applicable at municipal, district and state level.</w:t>
      </w:r>
    </w:p>
    <w:p>
      <w:pPr>
        <w:pStyle w:val="Heading2"/>
      </w:pPr>
      <w:r>
        <w:t xml:space="preserve">2.3 Assumptions</w:t>
      </w:r>
    </w:p>
    <w:p>
      <w:pPr>
        <w:pStyle w:val="ListParagraph"/>
        <w:numPr>
          <w:ilvl w:val="0"/>
          <w:numId w:val="2"/>
        </w:numPr>
        <w:spacing w:after="60"/>
      </w:pPr>
      <w:r>
        <w:t xml:space="preserve">Earlier data analysis projects produced cleaned service-transaction data, citizen feedback data and some demographic or geographic breakdowns.</w:t>
      </w:r>
    </w:p>
    <w:p>
      <w:pPr>
        <w:pStyle w:val="ListParagraph"/>
        <w:numPr>
          <w:ilvl w:val="0"/>
          <w:numId w:val="2"/>
        </w:numPr>
        <w:spacing w:after="60"/>
      </w:pPr>
      <w:r>
        <w:t xml:space="preserve">Typical techniques used were descriptive statistics, trend analysis, correlation and regression, segmentation/clustering, text analysis of feedback, and visual dashboards.</w:t>
      </w:r>
    </w:p>
    <w:p>
      <w:pPr>
        <w:pStyle w:val="ListParagraph"/>
        <w:numPr>
          <w:ilvl w:val="0"/>
          <w:numId w:val="2"/>
        </w:numPr>
        <w:spacing w:after="60"/>
      </w:pPr>
      <w:r>
        <w:t xml:space="preserve">Data is handled under applicable data-protection law, using anonymised or aggregated records for evaluation.</w:t>
      </w:r>
    </w:p>
    <w:p>
      <w:pPr>
        <w:pStyle w:val="Heading1"/>
      </w:pPr>
      <w:r>
        <w:t xml:space="preserve">3. Success Metrics</w:t>
      </w:r>
    </w:p>
    <w:p>
      <w:pPr>
        <w:spacing w:after="120" w:line="276"/>
      </w:pPr>
      <w:r>
        <w:t xml:space="preserve">Metrics are grouped into six dimensions. Quantitative metrics give comparability and trend visibility; qualitative metrics explain the reasons behind the numbers. Together they avoid the common problem of optimising what is easy to count.</w:t>
      </w:r>
    </w:p>
    <w:p>
      <w:pPr>
        <w:pStyle w:val="Heading2"/>
      </w:pPr>
      <w:r>
        <w:t xml:space="preserve">3.1 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500"/>
        <w:gridCol w:w="1700"/>
        <w:gridCol w:w="20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Definition / Formula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0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Data source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Average processing time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Mean days from complete application to final decision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Workflow logs</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SLA compliance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Requests closed within notified timeline ÷ total requests × 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Workflow logs</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First-time-right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Applications approved without query or resubmission ÷ total</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Case management system</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Cost per transaction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Total service cost ÷ transactions completed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Finance / MIS</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Digital adoption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Online transactions ÷ all transactions (online + offline) × 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Portal and counter data</w:t>
            </w:r>
          </w:p>
        </w:tc>
      </w:tr>
    </w:tbl>
    <w:p>
      <w:pPr>
        <w:spacing w:after="120"/>
      </w:pPr>
    </w:p>
    <w:p>
      <w:pPr>
        <w:pStyle w:val="Heading2"/>
      </w:pPr>
      <w:r>
        <w:t xml:space="preserve">3.2 Accessibility and Inclusion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500"/>
        <w:gridCol w:w="1700"/>
        <w:gridCol w:w="20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Definition / Formula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0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Data source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Service availability (uptime)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Time portal is available ÷ total time × 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Server monitoring</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Mobile completion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Completed mobile sessions ÷ started mobile sessions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Web analytics</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Regional and demographic reach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Usage per 1,000 population by district, gender and age group</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Transaction and census data</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Accessibility compliance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Pass rate against WCAG 2.1 AA checks; availability of local languages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Mixed</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Audit tool, manual review</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Assisted-channel use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Share of transactions completed through CSC/kiosk/helpdesk</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Channel logs</w:t>
            </w:r>
          </w:p>
        </w:tc>
      </w:tr>
    </w:tbl>
    <w:p>
      <w:pPr>
        <w:spacing w:after="120"/>
      </w:pPr>
    </w:p>
    <w:p>
      <w:pPr>
        <w:pStyle w:val="Heading2"/>
      </w:pPr>
      <w:r>
        <w:t xml:space="preserve">3.3 Transparency and Accountability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500"/>
        <w:gridCol w:w="1700"/>
        <w:gridCol w:w="20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Definition / Formula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0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Data source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Status visibility</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Share of services offering real-time application tracking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Service catalogue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Proactive disclosure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Datasets and service performance reports published on schedule ÷ planned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Open data portal</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Grievance resolution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Grievances resolved within timeline ÷ grievances received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Grievance system</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Decision explainability</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Rejections carrying a clear reason and appeal route ÷ total rejections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Case audit sample</w:t>
            </w:r>
          </w:p>
        </w:tc>
      </w:tr>
    </w:tbl>
    <w:p>
      <w:pPr>
        <w:spacing w:after="120"/>
      </w:pPr>
    </w:p>
    <w:p>
      <w:pPr>
        <w:pStyle w:val="Heading2"/>
      </w:pPr>
      <w:r>
        <w:t xml:space="preserve">3.4 Effectiveness and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500"/>
        <w:gridCol w:w="1700"/>
        <w:gridCol w:w="20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Definition / Formula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0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Data source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Citizen satisfaction (CSAT)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Mean score on a 5-point post-service survey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Mixed</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Survey, feedback widget</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Citizen effort score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Share of users agreeing the service was easy to complete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Qualitative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Survey</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Visits saved</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Estimated office visits avoided per transaction × online volume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Channel and survey data</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Benefit delivery timeliness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Benefits disbursed within entitlement window ÷ eligible beneficiaries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Benefit ledger</w:t>
            </w:r>
          </w:p>
        </w:tc>
      </w:tr>
    </w:tbl>
    <w:p>
      <w:pPr>
        <w:spacing w:after="120"/>
      </w:pPr>
    </w:p>
    <w:p>
      <w:pPr>
        <w:pStyle w:val="Heading2"/>
      </w:pPr>
      <w:r>
        <w:t xml:space="preserve">3.5 Trust, Security and Data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500"/>
        <w:gridCol w:w="1700"/>
        <w:gridCol w:w="20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Definition / Formula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0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Data source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Security incident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Confirmed incidents per million transactions; mean time to resolve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Security operations log</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Data quality score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Completeness, validity and duplicate rate of key fields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Data profiling</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Trust perception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Share of respondents confident their data is safe and fairly used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Qualitative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Survey, interviews</w:t>
            </w:r>
          </w:p>
        </w:tc>
      </w:tr>
    </w:tbl>
    <w:p>
      <w:pPr>
        <w:spacing w:after="120"/>
      </w:pPr>
    </w:p>
    <w:p>
      <w:pPr>
        <w:pStyle w:val="Heading2"/>
      </w:pPr>
      <w:r>
        <w:t xml:space="preserve">3.6 Sustainability and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500"/>
        <w:gridCol w:w="1700"/>
        <w:gridCol w:w="20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Definition / Formula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0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Data source</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V1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Return on investment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(Quantified savings + time value) ÷ total cost of ownership</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Finance, E4, F3</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V2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Staff capability</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Staff trained on the new workflow ÷ staff who need training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HR / training records</w:t>
            </w:r>
          </w:p>
        </w:tc>
      </w:tr>
      <w:t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V3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Reuse rate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Share of new services built on shared platform components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Quantitative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IT architecture register</w:t>
            </w:r>
          </w:p>
        </w:tc>
      </w:tr>
    </w:tbl>
    <w:p>
      <w:pPr>
        <w:spacing w:after="160"/>
      </w:pPr>
      <w:r>
        <w:rPr>
          <w:i/>
          <w:iCs/>
          <w:color w:val="595959"/>
          <w:sz w:val="18"/>
          <w:szCs w:val="18"/>
        </w:rPr>
        <w:t xml:space="preserve">Qualitative sources (open-ended survey comments, interviews, focus groups, and front-line staff feedback) are coded into themes and counted, so that they can be tracked alongside numerical metrics.</w:t>
      </w:r>
    </w:p>
    <w:p>
      <w:pPr>
        <w:pStyle w:val="Heading1"/>
      </w:pPr>
      <w:r>
        <w:t xml:space="preserve">4. Evaluation Criteria</w:t>
      </w:r>
    </w:p>
    <w:p>
      <w:pPr>
        <w:pStyle w:val="Heading2"/>
      </w:pPr>
      <w:r>
        <w:t xml:space="preserve">4.1 Selection criteria for metrics</w:t>
      </w:r>
    </w:p>
    <w:p>
      <w:pPr>
        <w:spacing w:after="120" w:line="276"/>
      </w:pPr>
      <w:r>
        <w:t xml:space="preserve">Each metric was kept only if it passes the following tests.</w:t>
      </w:r>
    </w:p>
    <w:p>
      <w:pPr>
        <w:pStyle w:val="ListParagraph"/>
        <w:numPr>
          <w:ilvl w:val="0"/>
          <w:numId w:val="2"/>
        </w:numPr>
        <w:spacing w:after="60"/>
      </w:pPr>
      <w:r>
        <w:rPr>
          <w:b/>
          <w:bCs/>
        </w:rPr>
        <w:t xml:space="preserve">Relevance: </w:t>
      </w:r>
      <w:r>
        <w:t xml:space="preserve">it is relevant to a stated policy objective;</w:t>
      </w:r>
    </w:p>
    <w:p>
      <w:pPr>
        <w:pStyle w:val="ListParagraph"/>
        <w:numPr>
          <w:ilvl w:val="0"/>
          <w:numId w:val="2"/>
        </w:numPr>
        <w:spacing w:after="60"/>
      </w:pPr>
      <w:r>
        <w:rPr>
          <w:b/>
          <w:bCs/>
        </w:rPr>
        <w:t xml:space="preserve">Clarity: </w:t>
      </w:r>
      <w:r>
        <w:t xml:space="preserve">it has a precise formula that two analysts would calculate the same way;</w:t>
      </w:r>
    </w:p>
    <w:p>
      <w:pPr>
        <w:pStyle w:val="ListParagraph"/>
        <w:numPr>
          <w:ilvl w:val="0"/>
          <w:numId w:val="2"/>
        </w:numPr>
        <w:spacing w:after="60"/>
      </w:pPr>
      <w:r>
        <w:rPr>
          <w:b/>
          <w:bCs/>
        </w:rPr>
        <w:t xml:space="preserve">Availability: </w:t>
      </w:r>
      <w:r>
        <w:t xml:space="preserve">data already exists or can be captured at low cost;</w:t>
      </w:r>
    </w:p>
    <w:p>
      <w:pPr>
        <w:pStyle w:val="ListParagraph"/>
        <w:numPr>
          <w:ilvl w:val="0"/>
          <w:numId w:val="2"/>
        </w:numPr>
        <w:spacing w:after="60"/>
      </w:pPr>
      <w:r>
        <w:rPr>
          <w:b/>
          <w:bCs/>
        </w:rPr>
        <w:t xml:space="preserve">Comparability: </w:t>
      </w:r>
      <w:r>
        <w:t xml:space="preserve">it can be broken down by service, region and user group;</w:t>
      </w:r>
    </w:p>
    <w:p>
      <w:pPr>
        <w:pStyle w:val="ListParagraph"/>
        <w:numPr>
          <w:ilvl w:val="0"/>
          <w:numId w:val="2"/>
        </w:numPr>
        <w:spacing w:after="60"/>
      </w:pPr>
      <w:r>
        <w:rPr>
          <w:b/>
          <w:bCs/>
        </w:rPr>
        <w:t xml:space="preserve">Actionability: </w:t>
      </w:r>
      <w:r>
        <w:t xml:space="preserve">it leads to an action someone can take.</w:t>
      </w:r>
    </w:p>
    <w:p>
      <w:pPr>
        <w:pStyle w:val="Heading2"/>
      </w:pPr>
      <w:r>
        <w:t xml:space="preserve">4.2 Scoring and the Digital Service Impact Index</w:t>
      </w:r>
    </w:p>
    <w:p>
      <w:pPr>
        <w:spacing w:after="120" w:line="276"/>
      </w:pPr>
      <w:r>
        <w:t xml:space="preserve">Each metric is converted to a 0–100 score by comparing the actual value with a baseline and a target. Dimension scores are the average of their metrics, and the DSII is the weighted sum of dimension scores. Weights are proposed below and should be agreed with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Dimension</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Weight</w:t>
            </w:r>
          </w:p>
        </w:tc>
        <w:tc>
          <w:tcPr>
            <w:tcW w:type="dxa" w:w="5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Rationale</w:t>
            </w:r>
          </w:p>
        </w:tc>
      </w:tr>
      <w:t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Efficiency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20%</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Direct measure of operational performance</w:t>
            </w:r>
          </w:p>
        </w:tc>
      </w:tr>
      <w:t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Accessibility and inclusion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25%</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Highest weight because reach and equity define public value</w:t>
            </w:r>
          </w:p>
        </w:tc>
      </w:tr>
      <w:t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Transparency and accountability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15%</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Supports legitimacy and anti-corruption goals</w:t>
            </w:r>
          </w:p>
        </w:tc>
      </w:tr>
      <w:t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Effectiveness and outcomes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20%</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Captures whether citizens actually benefit</w:t>
            </w:r>
          </w:p>
        </w:tc>
      </w:tr>
      <w:t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Trust, security and data quality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15%</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Foundation for sustained use</w:t>
            </w:r>
          </w:p>
        </w:tc>
      </w:tr>
      <w:t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Sustainability and value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5%</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Ensures long-term viability</w:t>
            </w:r>
          </w:p>
        </w:tc>
      </w:tr>
    </w:tbl>
    <w:p>
      <w:pPr>
        <w:spacing w:after="120"/>
      </w:pPr>
    </w:p>
    <w:p>
      <w:pPr>
        <w:pStyle w:val="Heading2"/>
      </w:pPr>
      <w:r>
        <w:t xml:space="preserve">4.3 Interpretation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Rating</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DSII range</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Meaning and required response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Green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80–100</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Target met. Maintain, document good practice and share with other departments.</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Amber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60–79</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Partial achievement. Root-cause analysis within 30 days and a corrective plan.</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Below 60</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Underperforming. Escalate to the steering committee and apply the relevant contingency plan.</w:t>
            </w:r>
          </w:p>
        </w:tc>
      </w:tr>
    </w:tbl>
    <w:p>
      <w:pPr>
        <w:spacing w:after="160"/>
      </w:pPr>
      <w:r>
        <w:rPr>
          <w:i/>
          <w:iCs/>
          <w:color w:val="595959"/>
          <w:sz w:val="18"/>
          <w:szCs w:val="18"/>
        </w:rPr>
        <w:t xml:space="preserve">Rule: any single metric in security (S1) or SLA compliance (E2) falling below its floor triggers Red status for the service regardless of the overall index, to prevent a good average from hiding a critical failure.</w:t>
      </w:r>
    </w:p>
    <w:p>
      <w:pPr>
        <w:pStyle w:val="Heading1"/>
      </w:pPr>
      <w:r>
        <w:t xml:space="preserve">5. Evaluation Framework</w:t>
      </w:r>
    </w:p>
    <w:p>
      <w:pPr>
        <w:spacing w:after="120" w:line="276"/>
      </w:pPr>
      <w:r>
        <w:t xml:space="preserve">The framework follows a five-stage cycle: Plan, Collect, Analyse, Interpret and Act. It is repeated monthly for operational metrics and quarterly for outcome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Stage</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Activities</w:t>
            </w:r>
          </w:p>
        </w:tc>
        <w:tc>
          <w:tcPr>
            <w:tcW w:type="dxa" w:w="3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Outputs</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1. Plan</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Confirm objectives, select metrics, set baselines and targets, assign metric owners, define data-sharing rules</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Metric dictionary; evaluation charter</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2. Collect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Automated extraction from logs and databases; short post-service pulse surveys; quarterly sample survey; interviews and focus groups; accessibility audits</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Validated, versioned dataset</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3. Analyse</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Data cleaning and quality checks; descriptive, trend, segmentation and regression analysis; text analysis of feedback</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Analytical findings and charts</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4. Interpret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Compare with targets and prior periods; apply RAG thresholds; triangulate numbers with qualitative evidence; review in a monthly performance meeting</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Scorecard; interpretation note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5. Act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Prioritise actions, assign owners and deadlines, track completion, feed lessons into policy and design</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Action log; updated targets</w:t>
            </w:r>
          </w:p>
        </w:tc>
      </w:tr>
    </w:tbl>
    <w:p>
      <w:pPr>
        <w:spacing w:after="120"/>
      </w:pPr>
    </w:p>
    <w:p>
      <w:pPr>
        <w:pStyle w:val="Heading2"/>
      </w:pPr>
      <w:r>
        <w:t xml:space="preserve">5.1 Data collection plan</w:t>
      </w:r>
    </w:p>
    <w:p>
      <w:pPr>
        <w:pStyle w:val="ListParagraph"/>
        <w:numPr>
          <w:ilvl w:val="0"/>
          <w:numId w:val="2"/>
        </w:numPr>
        <w:spacing w:after="60"/>
      </w:pPr>
      <w:r>
        <w:t xml:space="preserve">System logs and databases supply most efficiency, availability and grievance metrics with no extra burden on citizens.</w:t>
      </w:r>
    </w:p>
    <w:p>
      <w:pPr>
        <w:pStyle w:val="ListParagraph"/>
        <w:numPr>
          <w:ilvl w:val="0"/>
          <w:numId w:val="2"/>
        </w:numPr>
        <w:spacing w:after="60"/>
      </w:pPr>
      <w:r>
        <w:t xml:space="preserve">A one-question to three-question pulse survey is shown at the end of each transaction (CSAT, effort, trust) to keep response rates healthy.</w:t>
      </w:r>
    </w:p>
    <w:p>
      <w:pPr>
        <w:pStyle w:val="ListParagraph"/>
        <w:numPr>
          <w:ilvl w:val="0"/>
          <w:numId w:val="2"/>
        </w:numPr>
        <w:spacing w:after="60"/>
      </w:pPr>
      <w:r>
        <w:t xml:space="preserve">A quarterly sample survey, stratified by district, gender, age and channel, reaches people who do not use the portal, which is essential for measuring inclusion.</w:t>
      </w:r>
    </w:p>
    <w:p>
      <w:pPr>
        <w:pStyle w:val="ListParagraph"/>
        <w:numPr>
          <w:ilvl w:val="0"/>
          <w:numId w:val="2"/>
        </w:numPr>
        <w:spacing w:after="60"/>
      </w:pPr>
      <w:r>
        <w:t xml:space="preserve">Interviews and focus groups with citizens, intermediaries (such as kiosk operators) and staff are held twice a year to explain unexpected patterns.</w:t>
      </w:r>
    </w:p>
    <w:p>
      <w:pPr>
        <w:pStyle w:val="Heading2"/>
      </w:pPr>
      <w:r>
        <w:t xml:space="preserve">5.2 Data governance and ethics</w:t>
      </w:r>
    </w:p>
    <w:p>
      <w:pPr>
        <w:pStyle w:val="ListParagraph"/>
        <w:numPr>
          <w:ilvl w:val="0"/>
          <w:numId w:val="2"/>
        </w:numPr>
        <w:spacing w:after="60"/>
      </w:pPr>
      <w:r>
        <w:t xml:space="preserve">Use the minimum personal data needed; aggregate or pseudonymise before analysis.</w:t>
      </w:r>
    </w:p>
    <w:p>
      <w:pPr>
        <w:pStyle w:val="ListParagraph"/>
        <w:numPr>
          <w:ilvl w:val="0"/>
          <w:numId w:val="2"/>
        </w:numPr>
        <w:spacing w:after="60"/>
      </w:pPr>
      <w:r>
        <w:t xml:space="preserve">Maintain a metric dictionary and data lineage so that every number can be reproduced.</w:t>
      </w:r>
    </w:p>
    <w:p>
      <w:pPr>
        <w:pStyle w:val="ListParagraph"/>
        <w:numPr>
          <w:ilvl w:val="0"/>
          <w:numId w:val="2"/>
        </w:numPr>
        <w:spacing w:after="60"/>
      </w:pPr>
      <w:r>
        <w:t xml:space="preserve">Test models and dashboards for bias across gender, age, language and region before using them for decisions.</w:t>
      </w:r>
    </w:p>
    <w:p>
      <w:pPr>
        <w:pStyle w:val="ListParagraph"/>
        <w:numPr>
          <w:ilvl w:val="0"/>
          <w:numId w:val="2"/>
        </w:numPr>
        <w:spacing w:after="60"/>
      </w:pPr>
      <w:r>
        <w:t xml:space="preserve">Publish a summary scorecard so that the evaluation itself is transparent.</w:t>
      </w:r>
    </w:p>
    <w:p>
      <w:pPr>
        <w:pStyle w:val="Heading2"/>
      </w:pPr>
      <w:r>
        <w:t xml:space="preserve">5.3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Role</w:t>
            </w:r>
          </w:p>
        </w:tc>
        <w:tc>
          <w:tcPr>
            <w:tcW w:type="dxa" w:w="6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Responsibility</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Steering committee</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Approves targets, reviews Red services, unlocks budget</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Evaluation lead / data analyst</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Maintains data pipeline, runs analysis, produces scorecards</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Service owner</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Explains results, owns corrective actions</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IT / security team</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Provides data, monitors uptime and incidents</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Citizen advisory group</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Reviews findings from user perspective, tests changes</w:t>
            </w:r>
          </w:p>
        </w:tc>
      </w:tr>
    </w:tbl>
    <w:p>
      <w:pPr>
        <w:pStyle w:val="Heading1"/>
      </w:pPr>
      <w:r>
        <w:t xml:space="preserve">6. Data Analysis Integration</w:t>
      </w:r>
    </w:p>
    <w:p>
      <w:pPr>
        <w:pStyle w:val="Heading2"/>
      </w:pPr>
      <w:r>
        <w:t xml:space="preserve">6.1 Linking techniques to metrics</w:t>
      </w:r>
    </w:p>
    <w:p>
      <w:pPr>
        <w:spacing w:after="120" w:line="276"/>
      </w:pPr>
      <w:r>
        <w:t xml:space="preserve">The techniques applied in earlier data analysis projects are the engine of the evaluation. The table shows which technique feeds which metric and what kind of insight it provides.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26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Technique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Metrics supported</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What it reveals</w:t>
            </w:r>
          </w:p>
        </w:tc>
        <w:tc>
          <w:tcPr>
            <w:tcW w:type="dxa" w:w="2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Typical decision</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Descriptive statistics (mean, median, percentiles)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E1, E2, E4, A1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Average and worst-case performance; the 90th percentile exposes long delays hidden by averages</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Set realistic SLAs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Trend and time-series analysis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E1, E5, A1, F1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Seasonality, peaks, and improvement or decline over time</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Capacity planning before peak periods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Cohort and funnel analysis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A2, E3, E5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Where users drop out of an application journey</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Simplify or redesign specific steps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Correlation and regression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E1, F1, F2, E3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Which factors (form length, documents required, channel) most affect delay and satisfaction</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Prioritise the biggest drivers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Clustering / segmentation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A3, A5, E5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Groups of districts or users with similar usage and barriers</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Target outreach and assisted channels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Geospatial analysis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A3, A5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Coverage gaps and underserved areas</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Place kiosks and training</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Text and sentiment analysis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F1, F2, T3, S3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Recurring complaint themes in open comments and grievances</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Fix root causes, improve messaging</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Anomaly detection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S1, S2, E2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Unusual spikes, duplicate or suspicious records, bottlenecks</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Fraud checks, data clean-up</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Dashboards and data visualisation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All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Single view of scorecard with drill-down</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Monthly review and accountability</w:t>
            </w:r>
          </w:p>
        </w:tc>
      </w:tr>
    </w:tbl>
    <w:p>
      <w:pPr>
        <w:spacing w:after="120"/>
      </w:pPr>
    </w:p>
    <w:p>
      <w:pPr>
        <w:pStyle w:val="Heading2"/>
      </w:pPr>
      <w:r>
        <w:t xml:space="preserve">6.2 How data insights support impact measurement</w:t>
      </w:r>
    </w:p>
    <w:p>
      <w:pPr>
        <w:spacing w:after="120" w:line="276"/>
      </w:pPr>
      <w:r>
        <w:t xml:space="preserve">Raw metrics show what changed; analysis explains why and whether the change was caused by the service. Three practices make this possible.</w:t>
      </w:r>
    </w:p>
    <w:p>
      <w:pPr>
        <w:pStyle w:val="ListParagraph"/>
        <w:numPr>
          <w:ilvl w:val="0"/>
          <w:numId w:val="2"/>
        </w:numPr>
        <w:spacing w:after="60"/>
      </w:pPr>
      <w:r>
        <w:rPr>
          <w:b/>
          <w:bCs/>
        </w:rPr>
        <w:t xml:space="preserve">Baselines and comparisons: </w:t>
      </w:r>
      <w:r>
        <w:t xml:space="preserve">Compare performance before and after a change, or between pilot and comparison areas, so improvements can be attributed to the intervention rather than coincidence.</w:t>
      </w:r>
    </w:p>
    <w:p>
      <w:pPr>
        <w:pStyle w:val="ListParagraph"/>
        <w:numPr>
          <w:ilvl w:val="0"/>
          <w:numId w:val="2"/>
        </w:numPr>
        <w:spacing w:after="60"/>
      </w:pPr>
      <w:r>
        <w:rPr>
          <w:b/>
          <w:bCs/>
        </w:rPr>
        <w:t xml:space="preserve">Disaggregation: </w:t>
      </w:r>
      <w:r>
        <w:t xml:space="preserve">Break every headline metric down by district, gender, age and channel. An improving average can hide a widening gap for a vulnerable group.</w:t>
      </w:r>
    </w:p>
    <w:p>
      <w:pPr>
        <w:pStyle w:val="ListParagraph"/>
        <w:numPr>
          <w:ilvl w:val="0"/>
          <w:numId w:val="2"/>
        </w:numPr>
        <w:spacing w:after="60"/>
      </w:pPr>
      <w:r>
        <w:rPr>
          <w:b/>
          <w:bCs/>
        </w:rPr>
        <w:t xml:space="preserve">Triangulation: </w:t>
      </w:r>
      <w:r>
        <w:t xml:space="preserve">Use qualitative evidence to explain quantitative anomalies, and quantitative data to test whether anecdotes are representative.</w:t>
      </w:r>
    </w:p>
    <w:p>
      <w:pPr>
        <w:pStyle w:val="Heading2"/>
      </w:pPr>
      <w:r>
        <w:t xml:space="preserve">6.3 Worked illustration</w:t>
      </w:r>
    </w:p>
    <w:p>
      <w:pPr>
        <w:spacing w:after="120" w:line="276"/>
      </w:pPr>
      <w:r>
        <w:t xml:space="preserve">The following chain, using illustrative numbers, shows how a finding travels from analysis to action.</w:t>
      </w:r>
    </w:p>
    <w:p>
      <w:pPr>
        <w:pStyle w:val="ListParagraph"/>
        <w:numPr>
          <w:ilvl w:val="0"/>
          <w:numId w:val="3"/>
        </w:numPr>
        <w:spacing w:after="60"/>
      </w:pPr>
      <w:r>
        <w:rPr>
          <w:b/>
          <w:bCs/>
        </w:rPr>
        <w:t xml:space="preserve">Observation: </w:t>
      </w:r>
      <w:r>
        <w:t xml:space="preserve">Descriptive analysis shows the median processing time for a certificate is 5 days, but the 90th percentile is 21 days (metrics E1, E2).</w:t>
      </w:r>
    </w:p>
    <w:p>
      <w:pPr>
        <w:pStyle w:val="ListParagraph"/>
        <w:numPr>
          <w:ilvl w:val="0"/>
          <w:numId w:val="3"/>
        </w:numPr>
        <w:spacing w:after="60"/>
      </w:pPr>
      <w:r>
        <w:rPr>
          <w:b/>
          <w:bCs/>
        </w:rPr>
        <w:t xml:space="preserve">Explanation: </w:t>
      </w:r>
      <w:r>
        <w:t xml:space="preserve">Regression indicates that applications needing a physical document verification take about three times longer, and that mobile completion is lower for these applications (A2).</w:t>
      </w:r>
    </w:p>
    <w:p>
      <w:pPr>
        <w:pStyle w:val="ListParagraph"/>
        <w:numPr>
          <w:ilvl w:val="0"/>
          <w:numId w:val="3"/>
        </w:numPr>
        <w:spacing w:after="60"/>
      </w:pPr>
      <w:r>
        <w:rPr>
          <w:b/>
          <w:bCs/>
        </w:rPr>
        <w:t xml:space="preserve">Corroboration: </w:t>
      </w:r>
      <w:r>
        <w:t xml:space="preserve">Text analysis of grievances shows that a large share of complaints are about unclear document requirements and unknown status (T1, T3).</w:t>
      </w:r>
    </w:p>
    <w:p>
      <w:pPr>
        <w:pStyle w:val="ListParagraph"/>
        <w:numPr>
          <w:ilvl w:val="0"/>
          <w:numId w:val="3"/>
        </w:numPr>
        <w:spacing w:after="60"/>
      </w:pPr>
      <w:r>
        <w:rPr>
          <w:b/>
          <w:bCs/>
        </w:rPr>
        <w:t xml:space="preserve">Action: </w:t>
      </w:r>
      <w:r>
        <w:t xml:space="preserve">Recommendation: use API-based document verification, add a status tracker and clear checklists, then measure E1, E2, F2 and T3 again after three months.</w:t>
      </w:r>
    </w:p>
    <w:p>
      <w:pPr>
        <w:pStyle w:val="Heading1"/>
      </w:pPr>
      <w:r>
        <w:t xml:space="preserve">7. Findings-to-Recommendation Traceability</w:t>
      </w:r>
    </w:p>
    <w:p>
      <w:pPr>
        <w:spacing w:after="120" w:line="276"/>
      </w:pPr>
      <w:r>
        <w:t xml:space="preserve">Every recommendation must rest on evidence. The matrix below shows the expected finding pattern, the metrics that would confirm it, and the recommendation it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26"/>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Evidence pattern from analysis</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Metrics</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Technique</w:t>
            </w:r>
          </w:p>
        </w:tc>
        <w:tc>
          <w:tcPr>
            <w:tcW w:type="dxa" w:w="21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Recommendation</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Long tail of slow cases; manual verification delays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E1, E2, E3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Percentile, regression</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R1</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 drop-off at document upload and OTP steps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A2, E3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Funnel analysis</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R2</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 usage in some districts and among women and older adults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A3, A5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Clustering, geospatial</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R3</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Complaints on lack of status and unclear rejection reasons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T1, T3, T4, F2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Text analysis</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R4</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Inconsistent or duplicate records causing rework</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S2, E3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Data profiling, anomaly detection</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R5</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Traffic peaks causing slowdowns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A1, E1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Time series</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R6</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Staff unsure of new workflows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V2, E2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Correlation with training data</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R7</w:t>
            </w:r>
          </w:p>
        </w:tc>
      </w:tr>
      <w:t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 awareness of data safety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S1, S3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Survey analysis</w:t>
            </w:r>
          </w:p>
        </w:tc>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R8</w:t>
            </w:r>
          </w:p>
        </w:tc>
      </w:tr>
    </w:tbl>
    <w:p>
      <w:pPr>
        <w:pStyle w:val="Heading1"/>
      </w:pPr>
      <w:r>
        <w:t xml:space="preserve">8. Recommendations for Improvement</w:t>
      </w:r>
    </w:p>
    <w:p>
      <w:pPr>
        <w:pStyle w:val="Heading2"/>
      </w:pPr>
      <w:r>
        <w:t xml:space="preserve">R1. Streamline approval workflows and automate verification</w:t>
      </w:r>
    </w:p>
    <w:p>
      <w:pPr>
        <w:spacing w:after="120" w:line="276"/>
      </w:pPr>
      <w:r>
        <w:t xml:space="preserve">Integrate with authoritative registries through APIs for identity, land, income and similar records; introduce auto-approval for low-risk cases and rule-based routing for others; set stage-wise time limits with automatic escalation.</w:t>
      </w:r>
    </w:p>
    <w:p>
      <w:pPr>
        <w:spacing w:after="120" w:line="276"/>
      </w:pPr>
      <w:r>
        <w:rPr>
          <w:b/>
          <w:bCs/>
        </w:rPr>
        <w:t xml:space="preserve">Target outcome: </w:t>
      </w:r>
      <w:r>
        <w:t xml:space="preserve">E1 down 30–40%; E2 above 95%; E3 above 85%.  </w:t>
      </w:r>
      <w:r>
        <w:rPr>
          <w:b/>
          <w:bCs/>
        </w:rPr>
        <w:t xml:space="preserve">Feasibility: </w:t>
      </w:r>
      <w:r>
        <w:t xml:space="preserve">High.</w:t>
      </w:r>
    </w:p>
    <w:p>
      <w:pPr>
        <w:pStyle w:val="Heading2"/>
      </w:pPr>
      <w:r>
        <w:t xml:space="preserve">R2. Redesign the user journey, mobile first</w:t>
      </w:r>
    </w:p>
    <w:p>
      <w:pPr>
        <w:spacing w:after="120" w:line="276"/>
      </w:pPr>
      <w:r>
        <w:t xml:space="preserve">Reduce form fields through pre-filled data, allow document reuse via a digital locker, support lightweight pages for low bandwidth, and offer save-and-resume.</w:t>
      </w:r>
    </w:p>
    <w:p>
      <w:pPr>
        <w:spacing w:after="120" w:line="276"/>
      </w:pPr>
      <w:r>
        <w:rPr>
          <w:b/>
          <w:bCs/>
        </w:rPr>
        <w:t xml:space="preserve">Target outcome: </w:t>
      </w:r>
      <w:r>
        <w:t xml:space="preserve">A2 up by 15 points; E3 up by 10 points.  </w:t>
      </w:r>
      <w:r>
        <w:rPr>
          <w:b/>
          <w:bCs/>
        </w:rPr>
        <w:t xml:space="preserve">Feasibility: </w:t>
      </w:r>
      <w:r>
        <w:t xml:space="preserve">High.</w:t>
      </w:r>
    </w:p>
    <w:p>
      <w:pPr>
        <w:pStyle w:val="Heading2"/>
      </w:pPr>
      <w:r>
        <w:t xml:space="preserve">R3. Close the inclusion gap</w:t>
      </w:r>
    </w:p>
    <w:p>
      <w:pPr>
        <w:spacing w:after="120" w:line="276"/>
      </w:pPr>
      <w:r>
        <w:t xml:space="preserve">Deploy assisted-service points where clustering shows low uptake; add local-language and voice support; train intermediaries; run targeted awareness campaigns; track usage by gender and age monthly.</w:t>
      </w:r>
    </w:p>
    <w:p>
      <w:pPr>
        <w:spacing w:after="120" w:line="276"/>
      </w:pPr>
      <w:r>
        <w:rPr>
          <w:b/>
          <w:bCs/>
        </w:rPr>
        <w:t xml:space="preserve">Target outcome: </w:t>
      </w:r>
      <w:r>
        <w:t xml:space="preserve">A3 gap between best and weakest districts halved; A5 matches demand.  </w:t>
      </w:r>
      <w:r>
        <w:rPr>
          <w:b/>
          <w:bCs/>
        </w:rPr>
        <w:t xml:space="preserve">Feasibility: </w:t>
      </w:r>
      <w:r>
        <w:t xml:space="preserve">Medium.</w:t>
      </w:r>
    </w:p>
    <w:p>
      <w:pPr>
        <w:pStyle w:val="Heading2"/>
      </w:pPr>
      <w:r>
        <w:t xml:space="preserve">R4. Increase transparency and explainability</w:t>
      </w:r>
    </w:p>
    <w:p>
      <w:pPr>
        <w:spacing w:after="120" w:line="276"/>
      </w:pPr>
      <w:r>
        <w:t xml:space="preserve">Provide real-time status tracking with SMS or app notifications; show reasons and appeal routes for every rejection; publish a quarterly service scorecard and open datasets.</w:t>
      </w:r>
    </w:p>
    <w:p>
      <w:pPr>
        <w:spacing w:after="120" w:line="276"/>
      </w:pPr>
      <w:r>
        <w:rPr>
          <w:b/>
          <w:bCs/>
        </w:rPr>
        <w:t xml:space="preserve">Target outcome: </w:t>
      </w:r>
      <w:r>
        <w:t xml:space="preserve">T1 100% for priority services; T4 above 95%; T3 above 90%.  </w:t>
      </w:r>
      <w:r>
        <w:rPr>
          <w:b/>
          <w:bCs/>
        </w:rPr>
        <w:t xml:space="preserve">Feasibility: </w:t>
      </w:r>
      <w:r>
        <w:t xml:space="preserve">High.</w:t>
      </w:r>
    </w:p>
    <w:p>
      <w:pPr>
        <w:pStyle w:val="Heading2"/>
      </w:pPr>
      <w:r>
        <w:t xml:space="preserve">R5. Improve data quality and governance</w:t>
      </w:r>
    </w:p>
    <w:p>
      <w:pPr>
        <w:spacing w:after="120" w:line="276"/>
      </w:pPr>
      <w:r>
        <w:t xml:space="preserve">Introduce validation at entry, de-duplication routines, a master data register, and a data steward for each service.</w:t>
      </w:r>
    </w:p>
    <w:p>
      <w:pPr>
        <w:spacing w:after="120" w:line="276"/>
      </w:pPr>
      <w:r>
        <w:rPr>
          <w:b/>
          <w:bCs/>
        </w:rPr>
        <w:t xml:space="preserve">Target outcome: </w:t>
      </w:r>
      <w:r>
        <w:t xml:space="preserve">S2 above 95% completeness and validity.  </w:t>
      </w:r>
      <w:r>
        <w:rPr>
          <w:b/>
          <w:bCs/>
        </w:rPr>
        <w:t xml:space="preserve">Feasibility: </w:t>
      </w:r>
      <w:r>
        <w:t xml:space="preserve">Medium.</w:t>
      </w:r>
    </w:p>
    <w:p>
      <w:pPr>
        <w:pStyle w:val="Heading2"/>
      </w:pPr>
      <w:r>
        <w:t xml:space="preserve">R6. Strengthen platform resilience and capacity</w:t>
      </w:r>
    </w:p>
    <w:p>
      <w:pPr>
        <w:spacing w:after="120" w:line="276"/>
      </w:pPr>
      <w:r>
        <w:t xml:space="preserve">Use cloud autoscaling and caching, run load tests before known peaks (such as admission or benefit seasons), and set up monitoring with alerts.</w:t>
      </w:r>
    </w:p>
    <w:p>
      <w:pPr>
        <w:spacing w:after="120" w:line="276"/>
      </w:pPr>
      <w:r>
        <w:rPr>
          <w:b/>
          <w:bCs/>
        </w:rPr>
        <w:t xml:space="preserve">Target outcome: </w:t>
      </w:r>
      <w:r>
        <w:t xml:space="preserve">A1 at least 99.5%.  </w:t>
      </w:r>
      <w:r>
        <w:rPr>
          <w:b/>
          <w:bCs/>
        </w:rPr>
        <w:t xml:space="preserve">Feasibility: </w:t>
      </w:r>
      <w:r>
        <w:t xml:space="preserve">Medium.</w:t>
      </w:r>
    </w:p>
    <w:p>
      <w:pPr>
        <w:pStyle w:val="Heading2"/>
      </w:pPr>
      <w:r>
        <w:t xml:space="preserve">R7. Build staff capability and change management</w:t>
      </w:r>
    </w:p>
    <w:p>
      <w:pPr>
        <w:spacing w:after="120" w:line="276"/>
      </w:pPr>
      <w:r>
        <w:t xml:space="preserve">Role-based training, quick-reference guides, a helpdesk for staff, and recognition of high-performing offices.</w:t>
      </w:r>
    </w:p>
    <w:p>
      <w:pPr>
        <w:spacing w:after="120" w:line="276"/>
      </w:pPr>
      <w:r>
        <w:rPr>
          <w:b/>
          <w:bCs/>
        </w:rPr>
        <w:t xml:space="preserve">Target outcome: </w:t>
      </w:r>
      <w:r>
        <w:t xml:space="preserve">V2 above 90%; reduction in E2 breaches.  </w:t>
      </w:r>
      <w:r>
        <w:rPr>
          <w:b/>
          <w:bCs/>
        </w:rPr>
        <w:t xml:space="preserve">Feasibility: </w:t>
      </w:r>
      <w:r>
        <w:t xml:space="preserve">High.</w:t>
      </w:r>
    </w:p>
    <w:p>
      <w:pPr>
        <w:pStyle w:val="Heading2"/>
      </w:pPr>
      <w:r>
        <w:t xml:space="preserve">R8. Reinforce trust, privacy and security</w:t>
      </w:r>
    </w:p>
    <w:p>
      <w:pPr>
        <w:spacing w:after="120" w:line="276"/>
      </w:pPr>
      <w:r>
        <w:t xml:space="preserve">Regular vulnerability assessments, role-based access, audit logs, clear consent notices, and a public incident-communication protocol.</w:t>
      </w:r>
    </w:p>
    <w:p>
      <w:pPr>
        <w:spacing w:after="120" w:line="276"/>
      </w:pPr>
      <w:r>
        <w:rPr>
          <w:b/>
          <w:bCs/>
        </w:rPr>
        <w:t xml:space="preserve">Target outcome: </w:t>
      </w:r>
      <w:r>
        <w:t xml:space="preserve">S1 downward trend; S3 up 10 points.  </w:t>
      </w:r>
      <w:r>
        <w:rPr>
          <w:b/>
          <w:bCs/>
        </w:rPr>
        <w:t xml:space="preserve">Feasibility: </w:t>
      </w:r>
      <w:r>
        <w:t xml:space="preserve">Medium.</w:t>
      </w:r>
    </w:p>
    <w:p>
      <w:pPr>
        <w:pStyle w:val="Heading2"/>
      </w:pPr>
      <w:r>
        <w:t xml:space="preserve">8.1 Policy-level recommendations</w:t>
      </w:r>
    </w:p>
    <w:p>
      <w:pPr>
        <w:pStyle w:val="ListParagraph"/>
        <w:numPr>
          <w:ilvl w:val="0"/>
          <w:numId w:val="2"/>
        </w:numPr>
        <w:spacing w:after="60"/>
      </w:pPr>
      <w:r>
        <w:t xml:space="preserve">Adopt outcome-based targets (the DSII) in departmental performance agreements, so that results rather than launches are rewarded.</w:t>
      </w:r>
    </w:p>
    <w:p>
      <w:pPr>
        <w:pStyle w:val="ListParagraph"/>
        <w:numPr>
          <w:ilvl w:val="0"/>
          <w:numId w:val="2"/>
        </w:numPr>
        <w:spacing w:after="60"/>
      </w:pPr>
      <w:r>
        <w:t xml:space="preserve">Mandate data-sharing standards and common platform components to avoid repeating integration effort.</w:t>
      </w:r>
    </w:p>
    <w:p>
      <w:pPr>
        <w:pStyle w:val="ListParagraph"/>
        <w:numPr>
          <w:ilvl w:val="0"/>
          <w:numId w:val="2"/>
        </w:numPr>
        <w:spacing w:after="60"/>
      </w:pPr>
      <w:r>
        <w:t xml:space="preserve">Adopt a 'digital by default, assisted by design' principle so that offline access remains available for those who need it.</w:t>
      </w:r>
    </w:p>
    <w:p>
      <w:pPr>
        <w:pStyle w:val="ListParagraph"/>
        <w:numPr>
          <w:ilvl w:val="0"/>
          <w:numId w:val="2"/>
        </w:numPr>
        <w:spacing w:after="60"/>
      </w:pPr>
      <w:r>
        <w:t xml:space="preserve">Require an accessibility and impact assessment before any new service is launched.</w:t>
      </w:r>
    </w:p>
    <w:p>
      <w:pPr>
        <w:pStyle w:val="Heading1"/>
      </w:pPr>
      <w:r>
        <w:t xml:space="preserve">9. Contingency Plans</w:t>
      </w:r>
    </w:p>
    <w:p>
      <w:pPr>
        <w:spacing w:after="120" w:line="276"/>
      </w:pPr>
      <w:r>
        <w:t xml:space="preserve">The risks below could prevent either the evaluation or the improvement programme from delivering results. Each has an early-warning indicator and a pre-agreed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900"/>
        <w:gridCol w:w="1900"/>
        <w:gridCol w:w="337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Risk</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Likelihood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Impact</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Early warning</w:t>
            </w:r>
          </w:p>
        </w:tc>
        <w:tc>
          <w:tcPr>
            <w:tcW w:type="dxa" w:w="33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Contingency plan</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Poor or missing data</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S2 below threshold; many null fields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Use sampling and manual audits for key metrics; run data clean-up sprint; reduce metric set to the core ten until quality improves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 survey response</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Response rate below 10%</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Move to short in-flow prompts, SMS follow-up, and assisted surveys at kiosks; weight results to correct for bias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System downtime or cyber incident</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Uptime below 99%; anomaly alerts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Activate disaster-recovery site; switch to offline or counter processing; notify citizens; post-incident review within 5 days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Resistance from staff or departments</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 training completion; workarounds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Engage champions, simplify tools, link to performance reviews, hold feedback sessions, phase rollout</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Budget shortfall or delays</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Procurement slippage over 30 days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Prioritise High-feasibility items (R1, R2, R4, R7); reuse existing platforms; defer lower-priority work</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Privacy or ethical concern</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Complaint or audit finding</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Suspend the affected analysis, anonymise further, consult data-protection officer, and communicate corrective steps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Digital exclusion widens</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A3 gap grows; assisted-channel queues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Expand assisted channels, add voice and local-language options, pause digital-only mandates for affected services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Recommendations do not improve metrics</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No movement after two review cycles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Re-run root-cause analysis, test alternative designs with A/B pilots, adjust targets or approach</w:t>
            </w:r>
          </w:p>
        </w:tc>
      </w:tr>
    </w:tbl>
    <w:p>
      <w:pPr>
        <w:pStyle w:val="Heading1"/>
      </w:pPr>
      <w:r>
        <w:t xml:space="preserve">10. Feasibility and Timing</w:t>
      </w:r>
    </w:p>
    <w:p>
      <w:pPr>
        <w:pStyle w:val="Heading2"/>
      </w:pPr>
      <w:r>
        <w:t xml:space="preserve">10.1 Work plan for this evaluation (33 hours)</w:t>
      </w:r>
    </w:p>
    <w:p>
      <w:pPr>
        <w:spacing w:after="120" w:line="276"/>
      </w:pPr>
      <w:r>
        <w:t xml:space="preserve">The report and framework are planned to be completed within the 30–35 hour work period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000"/>
        <w:gridCol w:w="36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Step</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Activity</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Hours</w:t>
            </w:r>
          </w:p>
        </w:tc>
        <w:tc>
          <w:tcPr>
            <w:tcW w:type="dxa" w:w="3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Output</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Research and define success metrics; review e-governance indicator practice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6</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Metric catalogue (Section 3)</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Design evaluation framework and criteria; set scoring rules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5</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Sections 4 and 5</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Link previous analysis techniques to metrics; build traceability matrix</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6</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Sections 6 and 7</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Develop recommendations and policy suggestions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6</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Section 8</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Feasibility, contingency planning and timeline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4</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Sections 9 and 10</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Drafting, formatting, and visuals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4</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Complete draft</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Review, quality check, and finalisation</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2</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Final report</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Total</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33</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r>
    </w:tbl>
    <w:p>
      <w:pPr>
        <w:spacing w:after="120"/>
      </w:pPr>
    </w:p>
    <w:p>
      <w:pPr>
        <w:pStyle w:val="Heading2"/>
      </w:pPr>
      <w:r>
        <w:t xml:space="preserve">10.2 Implementation roadmap for the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2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Phase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Timeline</w:t>
            </w:r>
          </w:p>
        </w:tc>
        <w:tc>
          <w:tcPr>
            <w:tcW w:type="dxa" w:w="51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Key actions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Phase 1: Foundation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Months 0–3</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Approve metric dictionary and baselines; build the dashboard prototype; quick wins: checklists, status SMS, rejection reasons (R4); begin staff training (R7); data quality audit (R5)</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Phase 2: Core improvements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Months 3–9</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Workflow redesign and API verification for the top three services (R1); mobile-first redesign (R2); assisted channels in priority districts (R3); load testing and autoscaling (R6)</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Phase 3: Scale and embed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Months 9–18</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Extend to remaining services; integrate DSII into performance agreements; publish scorecards; annual independent review; refine targets</w:t>
            </w:r>
          </w:p>
        </w:tc>
      </w:tr>
    </w:tbl>
    <w:p>
      <w:pPr>
        <w:spacing w:after="120"/>
      </w:pPr>
    </w:p>
    <w:p>
      <w:pPr>
        <w:pStyle w:val="Heading2"/>
      </w:pPr>
      <w:r>
        <w:t xml:space="preserve">10.3 Feasibility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6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Recommendation</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Cost</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Effort</w:t>
            </w:r>
          </w:p>
        </w:tc>
        <w:tc>
          <w:tcPr>
            <w:tcW w:type="dxa" w:w="3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Main dependency</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R1 Workflow and verification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Medium–High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High</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Registry API access and legal approval</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R2 Mobile-first journey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UX capacity; existing platform flexibility</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R3 Inclusion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Local partners and trained operators</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R4 Transparency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Notification gateway, policy approval</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R5 Data quality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Data stewards, cooperation of departments</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R6 Resilience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Hosting contract and budget</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R7 Capability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Low</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Training schedule and leadership support</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R8 Trust and security</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Medium</w:t>
            </w:r>
          </w:p>
        </w:tc>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Security expertise, audit schedule</w:t>
            </w:r>
          </w:p>
        </w:tc>
      </w:tr>
    </w:tbl>
    <w:p>
      <w:pPr>
        <w:spacing w:after="120"/>
      </w:pPr>
    </w:p>
    <w:p>
      <w:pPr>
        <w:spacing w:after="120" w:line="276"/>
      </w:pPr>
      <w:r>
        <w:t xml:space="preserve">The overall programme is considered feasible because the first quarter relies on low-cost, low-dependency actions (R4, R5, R7) that produce visible gains and build credibility for the costlier technical changes. The principal constraints are inter-departmental data sharing, budget cycles and staff change capacity, which are addressed in the contingency plans.</w:t>
      </w:r>
    </w:p>
    <w:p>
      <w:pPr>
        <w:pStyle w:val="Heading1"/>
      </w:pPr>
      <w:r>
        <w:t xml:space="preserve">11. Conclusion</w:t>
      </w:r>
    </w:p>
    <w:p>
      <w:pPr>
        <w:spacing w:after="120" w:line="276"/>
      </w:pPr>
      <w:r>
        <w:t xml:space="preserve">Measuring digital services only by their existence leaves governments unable to say whether citizens are better served. The metrics, framework and index proposed here provide a disciplined way to assess efficiency, accessibility, transparency, effectiveness, trust and value, and to link each result back to the analytical technique that produced it. The recommendations that follow are specific, traceable to evidence, sequenced realistically and protected by contingency plans. Adopted together, they allow e-governance programmes to move from reporting activity to demonstrating impact and to improve continuously.</w:t>
      </w:r>
    </w:p>
    <w:p>
      <w:pPr>
        <w:pStyle w:val="Heading1"/>
      </w:pPr>
      <w:r>
        <w:t xml:space="preserve">Appendix A. Sample Quarterly Scorecard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100"/>
        <w:gridCol w:w="1100"/>
        <w:gridCol w:w="1100"/>
        <w:gridCol w:w="19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Service</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Dimension</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Baseline</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Current</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Target</w:t>
            </w:r>
          </w:p>
        </w:tc>
        <w:tc>
          <w:tcPr>
            <w:tcW w:type="dxa" w:w="1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b/>
                <w:bCs/>
                <w:color w:val="FFFFFF"/>
                <w:sz w:val="18"/>
                <w:szCs w:val="18"/>
              </w:rPr>
              <w:t xml:space="preserve">Status (RAG)</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Income certificate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Efficiency (E1)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Income certificate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Accessibility (A3)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Benefit application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Transparency (T3)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Benefit application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Effectiveness (F1)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All services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DSII</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color w:val="000000"/>
                <w:sz w:val="18"/>
                <w:szCs w:val="18"/>
              </w:rPr>
              <w:t xml:space="preserve"/>
            </w:r>
          </w:p>
        </w:tc>
      </w:tr>
    </w:tbl>
    <w:p>
      <w:pPr>
        <w:spacing w:after="120"/>
      </w:pPr>
    </w:p>
    <w:p>
      <w:pPr>
        <w:pStyle w:val="Heading1"/>
      </w:pPr>
      <w:r>
        <w:t xml:space="preserve">Appendix B. Glossary</w:t>
      </w:r>
    </w:p>
    <w:p>
      <w:pPr>
        <w:pStyle w:val="ListParagraph"/>
        <w:numPr>
          <w:ilvl w:val="0"/>
          <w:numId w:val="2"/>
        </w:numPr>
        <w:spacing w:after="60"/>
      </w:pPr>
      <w:r>
        <w:rPr>
          <w:b/>
          <w:bCs/>
        </w:rPr>
        <w:t xml:space="preserve">SLA: </w:t>
      </w:r>
      <w:r>
        <w:t xml:space="preserve">Service Level Agreement; the committed time to complete a service.</w:t>
      </w:r>
    </w:p>
    <w:p>
      <w:pPr>
        <w:pStyle w:val="ListParagraph"/>
        <w:numPr>
          <w:ilvl w:val="0"/>
          <w:numId w:val="2"/>
        </w:numPr>
        <w:spacing w:after="60"/>
      </w:pPr>
      <w:r>
        <w:rPr>
          <w:b/>
          <w:bCs/>
        </w:rPr>
        <w:t xml:space="preserve">CSAT: </w:t>
      </w:r>
      <w:r>
        <w:t xml:space="preserve">Customer/Citizen Satisfaction score.</w:t>
      </w:r>
    </w:p>
    <w:p>
      <w:pPr>
        <w:pStyle w:val="ListParagraph"/>
        <w:numPr>
          <w:ilvl w:val="0"/>
          <w:numId w:val="2"/>
        </w:numPr>
        <w:spacing w:after="60"/>
      </w:pPr>
      <w:r>
        <w:rPr>
          <w:b/>
          <w:bCs/>
        </w:rPr>
        <w:t xml:space="preserve">DSII: </w:t>
      </w:r>
      <w:r>
        <w:t xml:space="preserve">Digital Service Impact Index; the weighted composite score proposed in this report.</w:t>
      </w:r>
    </w:p>
    <w:p>
      <w:pPr>
        <w:pStyle w:val="ListParagraph"/>
        <w:numPr>
          <w:ilvl w:val="0"/>
          <w:numId w:val="2"/>
        </w:numPr>
        <w:spacing w:after="60"/>
      </w:pPr>
      <w:r>
        <w:rPr>
          <w:b/>
          <w:bCs/>
        </w:rPr>
        <w:t xml:space="preserve">WCAG: </w:t>
      </w:r>
      <w:r>
        <w:t xml:space="preserve">Web Content Accessibility Guidelines, the international standard for accessible digital content.</w:t>
      </w:r>
    </w:p>
    <w:p>
      <w:pPr>
        <w:pStyle w:val="ListParagraph"/>
        <w:numPr>
          <w:ilvl w:val="0"/>
          <w:numId w:val="2"/>
        </w:numPr>
        <w:spacing w:after="60"/>
      </w:pPr>
      <w:r>
        <w:rPr>
          <w:b/>
          <w:bCs/>
        </w:rPr>
        <w:t xml:space="preserve">CSC: </w:t>
      </w:r>
      <w:r>
        <w:t xml:space="preserve">Common Service Centre; an assisted digital service access point.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Evaluative Report: Digital Services in E-Governance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Evaluative Report: Impact of Digital Services in E-Governance</dc:title>
  <cp:lastModifiedBy>Un-named</cp:lastModifiedBy>
  <cp:revision>1</cp:revision>
  <dcterms:created xsi:type="dcterms:W3CDTF">2026-10-16T18:29:29.100Z</dcterms:created>
  <dcterms:modified xsi:type="dcterms:W3CDTF">2026-10-16T18:29:29.100Z</dcterms:modified>
</cp:coreProperties>
</file>

<file path=docProps/custom.xml><?xml version="1.0" encoding="utf-8"?>
<Properties xmlns="http://schemas.openxmlformats.org/officeDocument/2006/custom-properties" xmlns:vt="http://schemas.openxmlformats.org/officeDocument/2006/docPropsVTypes"/>
</file>