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2A7F8E"/>
          <w:spacing w:val="40"/>
          <w:sz w:val="18"/>
          <w:szCs w:val="18"/>
        </w:rPr>
        <w:t xml:space="preserve">ANALYSIS PROCESS AND METHODOLOGY</w:t>
      </w:r>
    </w:p>
    <w:p>
      <w:pPr>
        <w:spacing w:after="100"/>
      </w:pPr>
      <w:r>
        <w:rPr>
          <w:rFonts w:ascii="Arial" w:cs="Arial" w:eastAsia="Arial" w:hAnsi="Arial"/>
          <w:b/>
          <w:bCs/>
          <w:color w:val="1F3A5F"/>
          <w:sz w:val="40"/>
          <w:szCs w:val="40"/>
        </w:rPr>
        <w:t xml:space="preserve">Advanced Data Analysis of Public E-Governance and Digital Services Data</w:t>
      </w:r>
    </w:p>
    <w:p>
      <w:pPr>
        <w:pBdr>
          <w:bottom w:val="single" w:color="D9822B" w:sz="12" w:space="6"/>
        </w:pBdr>
        <w:spacing w:after="160"/>
      </w:pPr>
      <w:r>
        <w:rPr>
          <w:rFonts w:ascii="Arial" w:cs="Arial" w:eastAsia="Arial" w:hAnsi="Arial"/>
          <w:color w:val="5B6770"/>
          <w:sz w:val="22"/>
          <w:szCs w:val="22"/>
        </w:rPr>
        <w:t xml:space="preserve">Literature review, algorithm selection and rationale, process workflow, results interpretation and a 33-hour plan</w:t>
      </w:r>
    </w:p>
    <w:p>
      <w:pPr>
        <w:spacing w:after="200" w:line="288"/>
      </w:pPr>
      <w:r>
        <w:rPr>
          <w:rFonts w:ascii="Arial" w:cs="Arial" w:eastAsia="Arial" w:hAnsi="Arial"/>
          <w:color w:val="5B6770"/>
          <w:sz w:val="18"/>
          <w:szCs w:val="18"/>
        </w:rPr>
        <w:t xml:space="preserve">Version 1.0  |  10 October 2026  |  Companion to the Strategic Plan (September 2026), the Data Acquisition and Transformation Plan (4 October 2026) and the Data Preparation Guide.</w:t>
      </w:r>
    </w:p>
    <w:p>
      <w:pPr>
        <w:pStyle w:val="Heading1"/>
      </w:pPr>
      <w:r>
        <w:rPr>
          <w:rFonts w:ascii="Arial" w:cs="Arial" w:eastAsia="Arial" w:hAnsi="Arial"/>
        </w:rPr>
        <w:t xml:space="preserve">1. Executive Summary</w:t>
      </w:r>
    </w:p>
    <w:p>
      <w:pPr>
        <w:spacing w:after="120" w:line="288"/>
      </w:pPr>
      <w:r>
        <w:rPr>
          <w:rFonts w:ascii="Arial" w:cs="Arial" w:eastAsia="Arial" w:hAnsi="Arial"/>
          <w:sz w:val="21"/>
          <w:szCs w:val="21"/>
        </w:rPr>
        <w:t xml:space="preserve">This document explains how advanced statistical and machine learning methods will be applied to public data on e-governance and digital services in India, with cross-country benchmarking. It covers what the research literature says, which algorithms were chosen and why, how each will be prepared, trained and validated, how outputs will be read, and how the work fits into 33 hours.</w:t>
      </w:r>
    </w:p>
    <w:p>
      <w:pPr>
        <w:spacing w:after="120" w:line="288"/>
      </w:pPr>
      <w:r>
        <w:rPr>
          <w:rFonts w:ascii="Arial" w:cs="Arial" w:eastAsia="Arial" w:hAnsi="Arial"/>
          <w:b/>
          <w:bCs/>
          <w:sz w:val="21"/>
          <w:szCs w:val="21"/>
        </w:rPr>
        <w:t xml:space="preserve">The central design decision.</w:t>
      </w:r>
      <w:r>
        <w:rPr>
          <w:rFonts w:ascii="Arial" w:cs="Arial" w:eastAsia="Arial" w:hAnsi="Arial"/>
          <w:sz w:val="21"/>
          <w:szCs w:val="21"/>
        </w:rPr>
        <w:t xml:space="preserve"> Most public e-governance data is aggregated, panel-shaped and small: the UN E-Government Survey offers at most about 1,500 country-edition observations, India-specific state series run to a few hundred rows, and national monthly series to roughly a hundred points. Record-level grievance or application data is generally not public. This favours interpretable, regularised and well-validated methods over large black-box models, and it is why validation design receives as much attention here as algorithm choice.</w:t>
      </w:r>
    </w:p>
    <w:p>
      <w:pPr>
        <w:spacing w:after="60" w:line="288"/>
      </w:pPr>
      <w:r>
        <w:rPr>
          <w:rFonts w:ascii="Arial" w:cs="Arial" w:eastAsia="Arial" w:hAnsi="Arial"/>
          <w:b/>
          <w:bCs/>
          <w:sz w:val="21"/>
          <w:szCs w:val="21"/>
        </w:rPr>
        <w:t xml:space="preserve">Key decisions at a glance:</w:t>
      </w:r>
    </w:p>
    <w:p>
      <w:pPr>
        <w:pStyle w:val="ListParagraph"/>
        <w:numPr>
          <w:ilvl w:val="0"/>
          <w:numId w:val="2"/>
        </w:numPr>
        <w:spacing w:after="70" w:line="280"/>
      </w:pPr>
      <w:r>
        <w:rPr>
          <w:rFonts w:ascii="Arial" w:cs="Arial" w:eastAsia="Arial" w:hAnsi="Arial"/>
          <w:b/>
          <w:bCs/>
          <w:sz w:val="21"/>
          <w:szCs w:val="21"/>
        </w:rPr>
        <w:t xml:space="preserve">Algorithm portfolio.</w:t>
      </w:r>
      <w:r>
        <w:rPr>
          <w:rFonts w:ascii="Arial" w:cs="Arial" w:eastAsia="Arial" w:hAnsi="Arial"/>
          <w:sz w:val="21"/>
          <w:szCs w:val="21"/>
        </w:rPr>
        <w:t xml:space="preserve"> Core: regularised and panel regression (A1), logistic regression with gradient-boosted trees for classification (A2), and k-means with a Ward hierarchical cross-check for clustering (A3). Secondary: Kaplan–Meier and Cox survival analysis (A4) and ETS/SARIMA with a boosted challenger for forecasting (A5). Text mining and anomaly detection are defined as extension modules.</w:t>
      </w:r>
    </w:p>
    <w:p>
      <w:pPr>
        <w:pStyle w:val="ListParagraph"/>
        <w:numPr>
          <w:ilvl w:val="0"/>
          <w:numId w:val="2"/>
        </w:numPr>
        <w:spacing w:after="70" w:line="280"/>
      </w:pPr>
      <w:r>
        <w:rPr>
          <w:rFonts w:ascii="Arial" w:cs="Arial" w:eastAsia="Arial" w:hAnsi="Arial"/>
          <w:b/>
          <w:bCs/>
          <w:sz w:val="21"/>
          <w:szCs w:val="21"/>
        </w:rPr>
        <w:t xml:space="preserve">Two data tracks.</w:t>
      </w:r>
      <w:r>
        <w:rPr>
          <w:rFonts w:ascii="Arial" w:cs="Arial" w:eastAsia="Arial" w:hAnsi="Arial"/>
          <w:sz w:val="21"/>
          <w:szCs w:val="21"/>
        </w:rPr>
        <w:t xml:space="preserve"> A public-data track runs on what can be downloaded today. A record-level track is specified in full and runs only if an official, privacy-compliant extract is approved. Neither track depends on the other.</w:t>
      </w:r>
    </w:p>
    <w:p>
      <w:pPr>
        <w:pStyle w:val="ListParagraph"/>
        <w:numPr>
          <w:ilvl w:val="0"/>
          <w:numId w:val="2"/>
        </w:numPr>
        <w:spacing w:after="70" w:line="280"/>
      </w:pPr>
      <w:r>
        <w:rPr>
          <w:rFonts w:ascii="Arial" w:cs="Arial" w:eastAsia="Arial" w:hAnsi="Arial"/>
          <w:b/>
          <w:bCs/>
          <w:sz w:val="21"/>
          <w:szCs w:val="21"/>
        </w:rPr>
        <w:t xml:space="preserve">Workflow.</w:t>
      </w:r>
      <w:r>
        <w:rPr>
          <w:rFonts w:ascii="Arial" w:cs="Arial" w:eastAsia="Arial" w:hAnsi="Arial"/>
          <w:sz w:val="21"/>
          <w:szCs w:val="21"/>
        </w:rPr>
        <w:t xml:space="preserve"> Eight stages from a frozen analytical dataset to interpretation, with time-forward and group-aware splits, all preprocessing fitted inside training folds, and a sealed test set that is opened once.</w:t>
      </w:r>
    </w:p>
    <w:p>
      <w:pPr>
        <w:pStyle w:val="ListParagraph"/>
        <w:numPr>
          <w:ilvl w:val="0"/>
          <w:numId w:val="2"/>
        </w:numPr>
        <w:spacing w:after="70" w:line="280"/>
      </w:pPr>
      <w:r>
        <w:rPr>
          <w:rFonts w:ascii="Arial" w:cs="Arial" w:eastAsia="Arial" w:hAnsi="Arial"/>
          <w:b/>
          <w:bCs/>
          <w:sz w:val="21"/>
          <w:szCs w:val="21"/>
        </w:rPr>
        <w:t xml:space="preserve">Interpretation.</w:t>
      </w:r>
      <w:r>
        <w:rPr>
          <w:rFonts w:ascii="Arial" w:cs="Arial" w:eastAsia="Arial" w:hAnsi="Arial"/>
          <w:sz w:val="21"/>
          <w:szCs w:val="21"/>
        </w:rPr>
        <w:t xml:space="preserve"> Coefficient stability, SHAP attributions, cluster profiles, hazard ratios and forecast intervals are each mapped to a concrete service improvement, a KPI and a Strategic Plan objective (O1 to O7).</w:t>
      </w:r>
    </w:p>
    <w:p>
      <w:pPr>
        <w:pStyle w:val="ListParagraph"/>
        <w:numPr>
          <w:ilvl w:val="0"/>
          <w:numId w:val="2"/>
        </w:numPr>
        <w:spacing w:after="70" w:line="280"/>
      </w:pPr>
      <w:r>
        <w:rPr>
          <w:rFonts w:ascii="Arial" w:cs="Arial" w:eastAsia="Arial" w:hAnsi="Arial"/>
          <w:b/>
          <w:bCs/>
          <w:sz w:val="21"/>
          <w:szCs w:val="21"/>
        </w:rPr>
        <w:t xml:space="preserve">Time.</w:t>
      </w:r>
      <w:r>
        <w:rPr>
          <w:rFonts w:ascii="Arial" w:cs="Arial" w:eastAsia="Arial" w:hAnsi="Arial"/>
          <w:sz w:val="21"/>
          <w:szCs w:val="21"/>
        </w:rPr>
        <w:t xml:space="preserve"> Ten phases, 33 hours, ten milestones, two contingency hours and a stated order in which scope is cut if time runs short.</w:t>
      </w:r>
    </w:p>
    <w:p>
      <w:pPr>
        <w:keepNext/>
        <w:pBdr>
          <w:left w:val="single" w:color="2A7F8E" w:sz="24" w:space="8"/>
        </w:pBdr>
        <w:shd w:fill="E8F0F4" w:color="auto" w:val="clear"/>
        <w:spacing w:after="0" w:before="120" w:line="280"/>
        <w:ind w:left="160" w:right="100"/>
      </w:pPr>
      <w:r>
        <w:rPr>
          <w:rFonts w:ascii="Arial" w:cs="Arial" w:eastAsia="Arial" w:hAnsi="Arial"/>
          <w:b/>
          <w:bCs/>
          <w:color w:val="1F3A5F"/>
          <w:sz w:val="20"/>
          <w:szCs w:val="20"/>
        </w:rPr>
        <w:t xml:space="preserve">A note on expected outcomes</w:t>
      </w:r>
    </w:p>
    <w:p>
      <w:pPr>
        <w:pBdr>
          <w:left w:val="single" w:color="2A7F8E" w:sz="24" w:space="8"/>
        </w:pBdr>
        <w:shd w:fill="E8F0F4" w:color="auto" w:val="clear"/>
        <w:spacing w:after="160" w:before="0" w:line="280"/>
        <w:ind w:left="160" w:right="100"/>
      </w:pPr>
      <w:r>
        <w:rPr>
          <w:rFonts w:ascii="Arial" w:cs="Arial" w:eastAsia="Arial" w:hAnsi="Arial"/>
          <w:sz w:val="20"/>
          <w:szCs w:val="20"/>
        </w:rPr>
        <w:t xml:space="preserve">No models have been run for this document. Every expected outcome is written as a hypothesis with a test that could falsify it (Section 8.3). The only empirical figures quoted are published ones, such as India's UN EGDI values, and these are sourced.</w:t>
      </w:r>
    </w:p>
    <w:p>
      <w:pPr>
        <w:pStyle w:val="Heading1"/>
      </w:pPr>
      <w:r>
        <w:rPr>
          <w:rFonts w:ascii="Arial" w:cs="Arial" w:eastAsia="Arial" w:hAnsi="Arial"/>
        </w:rPr>
        <w:t xml:space="preserve">2. Purpose, Scope and Position in the Project</w:t>
      </w:r>
    </w:p>
    <w:p>
      <w:pPr>
        <w:spacing w:after="120" w:line="288"/>
      </w:pPr>
      <w:r>
        <w:rPr>
          <w:rFonts w:ascii="Arial" w:cs="Arial" w:eastAsia="Arial" w:hAnsi="Arial"/>
          <w:sz w:val="21"/>
          <w:szCs w:val="21"/>
        </w:rPr>
        <w:t xml:space="preserve">The Strategic Plan sets objectives (O1 to O7) and names families of methods. The Data Acquisition Plan defines where data comes from and how it becomes a tidy panel keyed on geography and period. The Data Preparation Guide defines cleaning, imputation, outlier handling, scaling, encoding and splitting. This document sits at the next step: it specifies the analytical methods that consume the prepared data, and the way their results are judged and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cantSplit/>
          <w:tblHeader/>
        </w:trPr>
        <w:tc>
          <w:tcPr>
            <w:tcW w:type="dxa" w:w="19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7"/>
                <w:szCs w:val="17"/>
              </w:rPr>
              <w:t xml:space="preserve">Earlier document</w:t>
            </w:r>
          </w:p>
        </w:tc>
        <w:tc>
          <w:tcPr>
            <w:tcW w:type="dxa" w:w="37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7"/>
                <w:szCs w:val="17"/>
              </w:rPr>
              <w:t xml:space="preserve">What it settles</w:t>
            </w:r>
          </w:p>
        </w:tc>
        <w:tc>
          <w:tcPr>
            <w:tcW w:type="dxa" w:w="342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7"/>
                <w:szCs w:val="17"/>
              </w:rPr>
              <w:t xml:space="preserve">What this document takes from it</w:t>
            </w:r>
          </w:p>
        </w:tc>
      </w:tr>
      <w:tr>
        <w:trPr>
          <w:cantSplit/>
        </w:trPr>
        <w:tc>
          <w:tcPr>
            <w:tcW w:type="dxa" w:w="19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7"/>
                <w:szCs w:val="17"/>
              </w:rPr>
              <w:t xml:space="preserve">Strategic Plan</w:t>
            </w:r>
          </w:p>
        </w:tc>
        <w:tc>
          <w:tcPr>
            <w:tcW w:type="dxa" w:w="3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Objectives O1 to O7, KPIs, statistical method families, ethics rules, risks R1 to R10</w:t>
            </w:r>
          </w:p>
        </w:tc>
        <w:tc>
          <w:tcPr>
            <w:tcW w:type="dxa" w:w="34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Targets and KPIs for interpretation; the small-cell rule (groups under 10 suppressed); risk IDs reused in Section 9</w:t>
            </w:r>
          </w:p>
        </w:tc>
      </w:tr>
      <w:tr>
        <w:trPr>
          <w:cantSplit/>
        </w:trPr>
        <w:tc>
          <w:tcPr>
            <w:tcW w:type="dxa" w:w="19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7"/>
                <w:szCs w:val="17"/>
              </w:rPr>
              <w:t xml:space="preserve">Data Acquisition Plan</w:t>
            </w:r>
          </w:p>
        </w:tc>
        <w:tc>
          <w:tcPr>
            <w:tcW w:type="dxa" w:w="3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Source register (UN, World Bank, ITU, data.gov.in, e-Taal, NPCI, TRAI, CPGRAMS), transformation stages T1 to T7, one tidy panel</w:t>
            </w:r>
          </w:p>
        </w:tc>
        <w:tc>
          <w:tcPr>
            <w:tcW w:type="dxa" w:w="34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Data tiers and units of analysis (Section 4); the four analytical questions</w:t>
            </w:r>
          </w:p>
        </w:tc>
      </w:tr>
      <w:tr>
        <w:trPr>
          <w:cantSplit/>
        </w:trPr>
        <w:tc>
          <w:tcPr>
            <w:tcW w:type="dxa" w:w="19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7"/>
                <w:szCs w:val="17"/>
              </w:rPr>
              <w:t xml:space="preserve">Data Preparation Guide</w:t>
            </w:r>
          </w:p>
        </w:tc>
        <w:tc>
          <w:tcPr>
            <w:tcW w:type="dxa" w:w="3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7"/>
                <w:szCs w:val="17"/>
              </w:rPr>
              <w:t xml:space="preserve">Nine preparation steps; fit imputers and scalers on training data only; time-based and stratified splits</w:t>
            </w:r>
          </w:p>
        </w:tc>
        <w:tc>
          <w:tcPr>
            <w:tcW w:type="dxa" w:w="34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7"/>
                <w:szCs w:val="17"/>
              </w:rPr>
              <w:t xml:space="preserve">In-fold preprocessing rule; encoding choices; split principles (Section 6)</w:t>
            </w:r>
          </w:p>
        </w:tc>
      </w:tr>
    </w:tbl>
    <w:p>
      <w:pPr>
        <w:spacing w:after="160"/>
      </w:pPr>
    </w:p>
    <w:p>
      <w:pPr>
        <w:keepNext/>
        <w:spacing w:after="120" w:line="288"/>
      </w:pPr>
      <w:r>
        <w:rPr>
          <w:rFonts w:ascii="Arial" w:cs="Arial" w:eastAsia="Arial" w:hAnsi="Arial"/>
          <w:sz w:val="21"/>
          <w:szCs w:val="21"/>
        </w:rPr>
        <w:t xml:space="preserve">The task brief lists five evaluation areas. The table shows where each is addressed.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cantSplit/>
          <w:tblHeader/>
        </w:trPr>
        <w:tc>
          <w:tcPr>
            <w:tcW w:type="dxa" w:w="33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7"/>
                <w:szCs w:val="17"/>
              </w:rPr>
              <w:t xml:space="preserve">Evaluation area</w:t>
            </w:r>
          </w:p>
        </w:tc>
        <w:tc>
          <w:tcPr>
            <w:tcW w:type="dxa" w:w="15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7"/>
                <w:szCs w:val="17"/>
              </w:rPr>
              <w:t xml:space="preserve">Section</w:t>
            </w:r>
          </w:p>
        </w:tc>
        <w:tc>
          <w:tcPr>
            <w:tcW w:type="dxa" w:w="422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7"/>
                <w:szCs w:val="17"/>
              </w:rPr>
              <w:t xml:space="preserve">Where to look</w:t>
            </w:r>
          </w:p>
        </w:tc>
      </w:tr>
      <w:tr>
        <w:trPr>
          <w:cantSplit/>
        </w:trPr>
        <w:tc>
          <w:tcPr>
            <w:tcW w:type="dxa" w:w="3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7"/>
                <w:szCs w:val="17"/>
              </w:rPr>
              <w:t xml:space="preserve">Depth and accuracy of the literature review</w:t>
            </w:r>
          </w:p>
        </w:tc>
        <w:tc>
          <w:tcPr>
            <w:tcW w:type="dxa" w:w="15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3</w:t>
            </w:r>
          </w:p>
        </w:tc>
        <w:tc>
          <w:tcPr>
            <w:tcW w:type="dxa" w:w="42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Eight algorithm families, public-sector applications, Indian deployments, evidence on failures, synthesis into design choices</w:t>
            </w:r>
          </w:p>
        </w:tc>
      </w:tr>
      <w:tr>
        <w:trPr>
          <w:cantSplit/>
        </w:trPr>
        <w:tc>
          <w:tcPr>
            <w:tcW w:type="dxa" w:w="3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7"/>
                <w:szCs w:val="17"/>
              </w:rPr>
              <w:t xml:space="preserve">Coherence and justification of algorithm selection</w:t>
            </w:r>
          </w:p>
        </w:tc>
        <w:tc>
          <w:tcPr>
            <w:tcW w:type="dxa" w:w="15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4, 5</w:t>
            </w:r>
          </w:p>
        </w:tc>
        <w:tc>
          <w:tcPr>
            <w:tcW w:type="dxa" w:w="42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Data tiers, question-to-task mapping, selection criteria, candidate assessment, per-algorithm rationale</w:t>
            </w:r>
          </w:p>
        </w:tc>
      </w:tr>
      <w:tr>
        <w:trPr>
          <w:cantSplit/>
        </w:trPr>
        <w:tc>
          <w:tcPr>
            <w:tcW w:type="dxa" w:w="3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7"/>
                <w:szCs w:val="17"/>
              </w:rPr>
              <w:t xml:space="preserve">Clarity of the data analysis workflow</w:t>
            </w:r>
          </w:p>
        </w:tc>
        <w:tc>
          <w:tcPr>
            <w:tcW w:type="dxa" w:w="15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6</w:t>
            </w:r>
          </w:p>
        </w:tc>
        <w:tc>
          <w:tcPr>
            <w:tcW w:type="dxa" w:w="42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Eight-stage workflow, segmentation and split design, training, validation metrics and acceptance rules, code skeleton</w:t>
            </w:r>
          </w:p>
        </w:tc>
      </w:tr>
      <w:tr>
        <w:trPr>
          <w:cantSplit/>
        </w:trPr>
        <w:tc>
          <w:tcPr>
            <w:tcW w:type="dxa" w:w="3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7"/>
                <w:szCs w:val="17"/>
              </w:rPr>
              <w:t xml:space="preserve">Practical interpretation and links to e-governance</w:t>
            </w:r>
          </w:p>
        </w:tc>
        <w:tc>
          <w:tcPr>
            <w:tcW w:type="dxa" w:w="15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8</w:t>
            </w:r>
          </w:p>
        </w:tc>
        <w:tc>
          <w:tcPr>
            <w:tcW w:type="dxa" w:w="42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Reading guide per algorithm, falsifiable hypotheses, finding-to-action table, prioritisation rule</w:t>
            </w:r>
          </w:p>
        </w:tc>
      </w:tr>
      <w:tr>
        <w:trPr>
          <w:cantSplit/>
        </w:trPr>
        <w:tc>
          <w:tcPr>
            <w:tcW w:type="dxa" w:w="3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7"/>
                <w:szCs w:val="17"/>
              </w:rPr>
              <w:t xml:space="preserve">Time management (30 to 35 hours)</w:t>
            </w:r>
          </w:p>
        </w:tc>
        <w:tc>
          <w:tcPr>
            <w:tcW w:type="dxa" w:w="15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7"/>
                <w:szCs w:val="17"/>
              </w:rPr>
              <w:t xml:space="preserve">7</w:t>
            </w:r>
          </w:p>
        </w:tc>
        <w:tc>
          <w:tcPr>
            <w:tcW w:type="dxa" w:w="42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7"/>
                <w:szCs w:val="17"/>
              </w:rPr>
              <w:t xml:space="preserve">Ten phases totalling 33 hours, milestones, contingency, scope-cut order</w:t>
            </w:r>
          </w:p>
        </w:tc>
      </w:tr>
    </w:tbl>
    <w:p>
      <w:pPr>
        <w:spacing w:after="160"/>
      </w:pPr>
    </w:p>
    <w:p>
      <w:pPr>
        <w:pStyle w:val="Heading1"/>
      </w:pPr>
      <w:r>
        <w:rPr>
          <w:rFonts w:ascii="Arial" w:cs="Arial" w:eastAsia="Arial" w:hAnsi="Arial"/>
        </w:rPr>
        <w:t xml:space="preserve">3. Literature Review</w:t>
      </w:r>
    </w:p>
    <w:p>
      <w:pPr>
        <w:pStyle w:val="Heading2"/>
      </w:pPr>
      <w:r>
        <w:rPr>
          <w:rFonts w:ascii="Arial" w:cs="Arial" w:eastAsia="Arial" w:hAnsi="Arial"/>
        </w:rPr>
        <w:t xml:space="preserve">3.1 Scope and method of the review</w:t>
      </w:r>
    </w:p>
    <w:p>
      <w:pPr>
        <w:spacing w:after="120" w:line="288"/>
      </w:pPr>
      <w:r>
        <w:rPr>
          <w:rFonts w:ascii="Arial" w:cs="Arial" w:eastAsia="Arial" w:hAnsi="Arial"/>
          <w:sz w:val="21"/>
          <w:szCs w:val="21"/>
        </w:rPr>
        <w:t xml:space="preserve">This is a targeted thematic review, not a systematic one. It draws on four kinds of source: (i) the UN DESA E-Government Survey and its data centre for how e-government is measured; (ii) foundational and widely used methods papers for each algorithm family; (iii) evidence on how such methods have been applied, and have failed, in public administration; and (iv) official Indian sources on deployed AI and machine learning in grievance redressal. Sources were chosen for authority and for relevance to the data tiers in Section 4. A full systematic review (protocol, structured database searches, screening log) would be the natural extension and is outside the 4-hour allowance in Section 7.</w:t>
      </w:r>
    </w:p>
    <w:p>
      <w:pPr>
        <w:spacing w:after="120" w:line="288"/>
      </w:pPr>
      <w:r>
        <w:rPr>
          <w:rFonts w:ascii="Arial" w:cs="Arial" w:eastAsia="Arial" w:hAnsi="Arial"/>
          <w:sz w:val="21"/>
          <w:szCs w:val="21"/>
        </w:rPr>
        <w:t xml:space="preserve">Trends in public-sector analytics, such as governance as code, federated data architectures and privacy-preserving analysis, are already covered in the Strategic Plan (Section 2.1) and are not repeated here. This review concentrates on the algorithms themselves.</w:t>
      </w:r>
    </w:p>
    <w:p>
      <w:pPr>
        <w:pStyle w:val="Heading2"/>
      </w:pPr>
      <w:r>
        <w:rPr>
          <w:rFonts w:ascii="Arial" w:cs="Arial" w:eastAsia="Arial" w:hAnsi="Arial"/>
        </w:rPr>
        <w:t xml:space="preserve">3.2 How e-government is measured, and what that means for modelling</w:t>
      </w:r>
    </w:p>
    <w:p>
      <w:pPr>
        <w:spacing w:after="120" w:line="288"/>
      </w:pPr>
      <w:r>
        <w:rPr>
          <w:rFonts w:ascii="Arial" w:cs="Arial" w:eastAsia="Arial" w:hAnsi="Arial"/>
          <w:sz w:val="21"/>
          <w:szCs w:val="21"/>
        </w:rPr>
        <w:t xml:space="preserve">The UN E-Government Development Index (EGDI) is the standard cross-country benchmark. It is a composite of three normalised components: the Online Service Index (OSI), the Telecommunication Infrastructure Index (TII) and the Human Capital Index (HCI). The 2024 survey, its thirteenth edition, covered all 193 UN member states. The UN also publishes a Local Online Service Index (LOSI) which began as a 40-city pilot in 2018, grew to 100 cities in 2020 and reached 193 cities in 2022.</w:t>
      </w:r>
    </w:p>
    <w:p>
      <w:pPr>
        <w:spacing w:after="120" w:line="288"/>
      </w:pPr>
      <w:r>
        <w:rPr>
          <w:rFonts w:ascii="Arial" w:cs="Arial" w:eastAsia="Arial" w:hAnsi="Arial"/>
          <w:sz w:val="21"/>
          <w:szCs w:val="21"/>
        </w:rPr>
        <w:t xml:space="preserve">The UN data centre gives India's EGDI as 0.5883 in 2022 (rank 105) and 0.66776 in 2024 (rank 97), with a series of twelve editions back to 2003. Three consequences follow for method:</w:t>
      </w:r>
    </w:p>
    <w:p>
      <w:pPr>
        <w:pStyle w:val="ListParagraph"/>
        <w:numPr>
          <w:ilvl w:val="0"/>
          <w:numId w:val="2"/>
        </w:numPr>
        <w:spacing w:after="70" w:line="280"/>
      </w:pPr>
      <w:r>
        <w:rPr>
          <w:rFonts w:ascii="Arial" w:cs="Arial" w:eastAsia="Arial" w:hAnsi="Arial"/>
          <w:b/>
          <w:bCs/>
          <w:sz w:val="21"/>
          <w:szCs w:val="21"/>
        </w:rPr>
        <w:t xml:space="preserve">The index is a transparent arithmetic aggregate, not a learned quantity.</w:t>
      </w:r>
      <w:r>
        <w:rPr>
          <w:rFonts w:ascii="Arial" w:cs="Arial" w:eastAsia="Arial" w:hAnsi="Arial"/>
          <w:sz w:val="21"/>
          <w:szCs w:val="21"/>
        </w:rPr>
        <w:t xml:space="preserve"> Predicting EGDI from its own components is circular. Models in this project either target a component such as OSI, or predict EGDI only from external variables (Section 4.3).</w:t>
      </w:r>
    </w:p>
    <w:p>
      <w:pPr>
        <w:pStyle w:val="ListParagraph"/>
        <w:numPr>
          <w:ilvl w:val="0"/>
          <w:numId w:val="2"/>
        </w:numPr>
        <w:spacing w:after="70" w:line="280"/>
      </w:pPr>
      <w:r>
        <w:rPr>
          <w:rFonts w:ascii="Arial" w:cs="Arial" w:eastAsia="Arial" w:hAnsi="Arial"/>
          <w:b/>
          <w:bCs/>
          <w:sz w:val="21"/>
          <w:szCs w:val="21"/>
        </w:rPr>
        <w:t xml:space="preserve">The data is small and biennial.</w:t>
      </w:r>
      <w:r>
        <w:rPr>
          <w:rFonts w:ascii="Arial" w:cs="Arial" w:eastAsia="Arial" w:hAnsi="Arial"/>
          <w:sz w:val="21"/>
          <w:szCs w:val="21"/>
        </w:rPr>
        <w:t xml:space="preserve"> Even a full cross-country panel since 2010 yields only about 1,500 rows, with strong persistence from one edition to the next. Random train-test splits would let a country appear on both sides and overstate accuracy.</w:t>
      </w:r>
    </w:p>
    <w:p>
      <w:pPr>
        <w:pStyle w:val="ListParagraph"/>
        <w:numPr>
          <w:ilvl w:val="0"/>
          <w:numId w:val="2"/>
        </w:numPr>
        <w:spacing w:after="70" w:line="280"/>
      </w:pPr>
      <w:r>
        <w:rPr>
          <w:rFonts w:ascii="Arial" w:cs="Arial" w:eastAsia="Arial" w:hAnsi="Arial"/>
          <w:b/>
          <w:bCs/>
          <w:sz w:val="21"/>
          <w:szCs w:val="21"/>
        </w:rPr>
        <w:t xml:space="preserve">Definitions drift.</w:t>
      </w:r>
      <w:r>
        <w:rPr>
          <w:rFonts w:ascii="Arial" w:cs="Arial" w:eastAsia="Arial" w:hAnsi="Arial"/>
          <w:sz w:val="21"/>
          <w:szCs w:val="21"/>
        </w:rPr>
        <w:t xml:space="preserve"> Survey questionnaires and index construction change between editions, so edition effects and sensitivity checks are required before comparing years.</w:t>
      </w:r>
    </w:p>
    <w:p>
      <w:pPr>
        <w:pStyle w:val="Heading2"/>
      </w:pPr>
      <w:r>
        <w:rPr>
          <w:rFonts w:ascii="Arial" w:cs="Arial" w:eastAsia="Arial" w:hAnsi="Arial"/>
        </w:rPr>
        <w:t xml:space="preserve">3.3 Algorithm families and their public-sector applications</w:t>
      </w:r>
    </w:p>
    <w:p>
      <w:pPr>
        <w:keepNext/>
        <w:spacing w:after="120" w:line="288"/>
      </w:pPr>
      <w:r>
        <w:rPr>
          <w:rFonts w:ascii="Arial" w:cs="Arial" w:eastAsia="Arial" w:hAnsi="Arial"/>
          <w:sz w:val="21"/>
          <w:szCs w:val="21"/>
        </w:rPr>
        <w:t xml:space="preserve">The table summarises the families considered. Applications are described at the level of the established literature stream rather than by individual studies, except where a specific deployment is cited.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226"/>
      </w:tblGrid>
      <w:tr>
        <w:trPr>
          <w:cantSplit/>
          <w:tblHeader/>
        </w:trPr>
        <w:tc>
          <w:tcPr>
            <w:tcW w:type="dxa" w:w="24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Family and key sources</w:t>
            </w:r>
          </w:p>
        </w:tc>
        <w:tc>
          <w:tcPr>
            <w:tcW w:type="dxa" w:w="24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Public-sector applications</w:t>
            </w:r>
          </w:p>
        </w:tc>
        <w:tc>
          <w:tcPr>
            <w:tcW w:type="dxa" w:w="20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Strengths</w:t>
            </w:r>
          </w:p>
        </w:tc>
        <w:tc>
          <w:tcPr>
            <w:tcW w:type="dxa" w:w="222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Limitations</w:t>
            </w:r>
          </w:p>
        </w:tc>
      </w:tr>
      <w:tr>
        <w:trPr>
          <w:cantSplit/>
        </w:trPr>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Regularised and panel regression</w:t>
            </w:r>
          </w:p>
          <w:p>
            <w:pPr>
              <w:keepNext w:val="false"/>
              <w:spacing w:after="40" w:line="252"/>
            </w:pPr>
            <w:r>
              <w:rPr>
                <w:rFonts w:ascii="Arial" w:cs="Arial" w:eastAsia="Arial" w:hAnsi="Arial"/>
                <w:sz w:val="16"/>
                <w:szCs w:val="16"/>
              </w:rPr>
              <w:t xml:space="preserve">Ridge (Hoerl and Kennard, 1970); lasso (Tibshirani, 1996); elastic net (Zou and Hastie, 2005); fixed-effects panel models</w:t>
            </w:r>
          </w:p>
        </w:tc>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Cross-country studies of what drives e-government development (income, ICT access, education, governance); explaining demand for online services across regions</w:t>
            </w:r>
          </w:p>
        </w:tc>
        <w:tc>
          <w:tcPr>
            <w:tcW w:type="dxa" w:w="2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Interpretable; stable on small samples; elastic net copes with correlated predictors</w:t>
            </w:r>
          </w:p>
        </w:tc>
        <w:tc>
          <w:tcPr>
            <w:tcW w:type="dxa" w:w="22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Assumes linear effects; inference after variable selection needs care; association, not causation</w:t>
            </w:r>
          </w:p>
        </w:tc>
      </w:tr>
      <w:tr>
        <w:trPr>
          <w:cantSplit/>
        </w:trPr>
        <w:tc>
          <w:tcPr>
            <w:tcW w:type="dxa" w:w="2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Tree ensembles</w:t>
            </w:r>
          </w:p>
          <w:p>
            <w:pPr>
              <w:keepNext w:val="false"/>
              <w:spacing w:after="40" w:line="252"/>
            </w:pPr>
            <w:r>
              <w:rPr>
                <w:rFonts w:ascii="Arial" w:cs="Arial" w:eastAsia="Arial" w:hAnsi="Arial"/>
                <w:sz w:val="16"/>
                <w:szCs w:val="16"/>
              </w:rPr>
              <w:t xml:space="preserve">Random forest (Breiman, 2001); gradient boosting (Chen and Guestrin, 2016; Ke et al., 2017); tabular benchmarks (Grinsztajn et al., 2022)</w:t>
            </w:r>
          </w:p>
        </w:tc>
        <w:tc>
          <w:tcPr>
            <w:tcW w:type="dxa" w:w="2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Risk-based targeting such as inspection and audit prioritisation; predicting service-level breaches; screening and triage tools</w:t>
            </w:r>
          </w:p>
        </w:tc>
        <w:tc>
          <w:tcPr>
            <w:tcW w:type="dxa" w:w="2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Captures non-linearity and interactions; handles mixed variable types; little scaling needed</w:t>
            </w:r>
          </w:p>
        </w:tc>
        <w:tc>
          <w:tcPr>
            <w:tcW w:type="dxa" w:w="22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Opaque without explanation tools; can overfit small panels; reproduces bias in labels</w:t>
            </w:r>
          </w:p>
        </w:tc>
      </w:tr>
      <w:tr>
        <w:trPr>
          <w:cantSplit/>
        </w:trPr>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Clustering</w:t>
            </w:r>
          </w:p>
          <w:p>
            <w:pPr>
              <w:keepNext w:val="false"/>
              <w:spacing w:after="40" w:line="252"/>
            </w:pPr>
            <w:r>
              <w:rPr>
                <w:rFonts w:ascii="Arial" w:cs="Arial" w:eastAsia="Arial" w:hAnsi="Arial"/>
                <w:sz w:val="16"/>
                <w:szCs w:val="16"/>
              </w:rPr>
              <w:t xml:space="preserve">k-means (Lloyd, 1982); Ward linkage (Ward, 1963); DBSCAN and HDBSCAN (Ester et al., 1996; Campello et al., 2013); validity via silhouette (Rousseeuw, 1987) and gap statistic (Tibshirani et al., 2001)</w:t>
            </w:r>
          </w:p>
        </w:tc>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Typologies of countries, states and municipalities by digital readiness; segmentation of service users by channel and usage</w:t>
            </w:r>
          </w:p>
        </w:tc>
        <w:tc>
          <w:tcPr>
            <w:tcW w:type="dxa" w:w="2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Finds structure without labels; produces communicable profiles</w:t>
            </w:r>
          </w:p>
        </w:tc>
        <w:tc>
          <w:tcPr>
            <w:tcW w:type="dxa" w:w="22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Result depends on features, scaling and number of clusters; no ground truth</w:t>
            </w:r>
          </w:p>
        </w:tc>
      </w:tr>
      <w:tr>
        <w:trPr>
          <w:cantSplit/>
        </w:trPr>
        <w:tc>
          <w:tcPr>
            <w:tcW w:type="dxa" w:w="2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Survival analysis</w:t>
            </w:r>
          </w:p>
          <w:p>
            <w:pPr>
              <w:keepNext w:val="false"/>
              <w:spacing w:after="40" w:line="252"/>
            </w:pPr>
            <w:r>
              <w:rPr>
                <w:rFonts w:ascii="Arial" w:cs="Arial" w:eastAsia="Arial" w:hAnsi="Arial"/>
                <w:sz w:val="16"/>
                <w:szCs w:val="16"/>
              </w:rPr>
              <w:t xml:space="preserve">Kaplan and Meier (1958); Cox (1972); accelerated failure time models; software such as lifelines (Davidson-Pilon, 2019)</w:t>
            </w:r>
          </w:p>
        </w:tc>
        <w:tc>
          <w:tcPr>
            <w:tcW w:type="dxa" w:w="2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Time to disposal of grievances, licences, permits and benefit claims; handles cases still open at extraction</w:t>
            </w:r>
          </w:p>
        </w:tc>
        <w:tc>
          <w:tcPr>
            <w:tcW w:type="dxa" w:w="2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Uses incomplete cases correctly; hazard ratios are readable</w:t>
            </w:r>
          </w:p>
        </w:tc>
        <w:tc>
          <w:tcPr>
            <w:tcW w:type="dxa" w:w="22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Needs record-level timestamps; proportional-hazards assumption must be checked</w:t>
            </w:r>
          </w:p>
        </w:tc>
      </w:tr>
      <w:tr>
        <w:trPr>
          <w:cantSplit/>
        </w:trPr>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Time-series forecasting</w:t>
            </w:r>
          </w:p>
          <w:p>
            <w:pPr>
              <w:keepNext w:val="false"/>
              <w:spacing w:after="40" w:line="252"/>
            </w:pPr>
            <w:r>
              <w:rPr>
                <w:rFonts w:ascii="Arial" w:cs="Arial" w:eastAsia="Arial" w:hAnsi="Arial"/>
                <w:sz w:val="16"/>
                <w:szCs w:val="16"/>
              </w:rPr>
              <w:t xml:space="preserve">ETS and ARIMA (Hyndman and Athanasopoulos, 2021); Prophet (Taylor and Letham, 2018); accuracy measures (Hyndman and Koehler, 2006)</w:t>
            </w:r>
          </w:p>
        </w:tc>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Demand for portals and call centres; transaction volumes; filing-deadline peaks</w:t>
            </w:r>
          </w:p>
        </w:tc>
        <w:tc>
          <w:tcPr>
            <w:tcW w:type="dxa" w:w="2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Models trend and seasonality; gives prediction intervals</w:t>
            </w:r>
          </w:p>
        </w:tc>
        <w:tc>
          <w:tcPr>
            <w:tcW w:type="dxa" w:w="22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Sensitive to structural breaks such as policy changes or the pandemic; short histories</w:t>
            </w:r>
          </w:p>
        </w:tc>
      </w:tr>
      <w:tr>
        <w:trPr>
          <w:cantSplit/>
        </w:trPr>
        <w:tc>
          <w:tcPr>
            <w:tcW w:type="dxa" w:w="2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Text mining and NLP</w:t>
            </w:r>
          </w:p>
          <w:p>
            <w:pPr>
              <w:keepNext w:val="false"/>
              <w:spacing w:after="40" w:line="252"/>
            </w:pPr>
            <w:r>
              <w:rPr>
                <w:rFonts w:ascii="Arial" w:cs="Arial" w:eastAsia="Arial" w:hAnsi="Arial"/>
                <w:sz w:val="16"/>
                <w:szCs w:val="16"/>
              </w:rPr>
              <w:t xml:space="preserve">LDA (Blei et al., 2003); BERT (Devlin et al., 2019); BERTopic (Grootendorst, 2022); Indian-language models such as MuRIL (Khanuja et al., 2021)</w:t>
            </w:r>
          </w:p>
        </w:tc>
        <w:tc>
          <w:tcPr>
            <w:tcW w:type="dxa" w:w="2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Grievance categorisation, theme discovery and urgency flagging, for example in the CPGRAMS Intelligent Grievance Monitoring System</w:t>
            </w:r>
          </w:p>
        </w:tc>
        <w:tc>
          <w:tcPr>
            <w:tcW w:type="dxa" w:w="2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Reads volumes no team can read manually</w:t>
            </w:r>
          </w:p>
        </w:tc>
        <w:tc>
          <w:tcPr>
            <w:tcW w:type="dxa" w:w="22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Code-mixed and transliterated text; labelling cost; bias in training text</w:t>
            </w:r>
          </w:p>
        </w:tc>
      </w:tr>
      <w:tr>
        <w:trPr>
          <w:cantSplit/>
        </w:trPr>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Anomaly detection</w:t>
            </w:r>
          </w:p>
          <w:p>
            <w:pPr>
              <w:keepNext w:val="false"/>
              <w:spacing w:after="40" w:line="252"/>
            </w:pPr>
            <w:r>
              <w:rPr>
                <w:rFonts w:ascii="Arial" w:cs="Arial" w:eastAsia="Arial" w:hAnsi="Arial"/>
                <w:sz w:val="16"/>
                <w:szCs w:val="16"/>
              </w:rPr>
              <w:t xml:space="preserve">Isolation forest (Liu et al., 2008); local outlier factor (Breunig et al., 2000); control charts</w:t>
            </w:r>
          </w:p>
        </w:tc>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Spotting unusual delays, spikes, suspected fraud and data errors</w:t>
            </w:r>
          </w:p>
        </w:tc>
        <w:tc>
          <w:tcPr>
            <w:tcW w:type="dxa" w:w="2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Unsupervised; scalable</w:t>
            </w:r>
          </w:p>
        </w:tc>
        <w:tc>
          <w:tcPr>
            <w:tcW w:type="dxa" w:w="22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A flag is not proof of wrongdoing; threshold choice; needs human review</w:t>
            </w:r>
          </w:p>
        </w:tc>
      </w:tr>
      <w:tr>
        <w:trPr>
          <w:cantSplit/>
        </w:trPr>
        <w:tc>
          <w:tcPr>
            <w:tcW w:type="dxa" w:w="2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Explainability and fairness</w:t>
            </w:r>
          </w:p>
          <w:p>
            <w:pPr>
              <w:keepNext w:val="false"/>
              <w:spacing w:after="40" w:line="252"/>
            </w:pPr>
            <w:r>
              <w:rPr>
                <w:rFonts w:ascii="Arial" w:cs="Arial" w:eastAsia="Arial" w:hAnsi="Arial"/>
                <w:sz w:val="16"/>
                <w:szCs w:val="16"/>
              </w:rPr>
              <w:t xml:space="preserve">SHAP (Lundberg and Lee, 2017); fairness survey (Mehrabi et al., 2021); equality of opportunity (Hardt et al., 2016)</w:t>
            </w:r>
          </w:p>
        </w:tc>
        <w:tc>
          <w:tcPr>
            <w:tcW w:type="dxa" w:w="2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Auditing and communicating models; checking performance across regions, languages and groups</w:t>
            </w:r>
          </w:p>
        </w:tc>
        <w:tc>
          <w:tcPr>
            <w:tcW w:type="dxa" w:w="2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Model-agnostic; supports accountability</w:t>
            </w:r>
          </w:p>
        </w:tc>
        <w:tc>
          <w:tcPr>
            <w:tcW w:type="dxa" w:w="22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Explanation is not causation; fairness criteria can conflict</w:t>
            </w:r>
          </w:p>
        </w:tc>
      </w:tr>
    </w:tbl>
    <w:p>
      <w:pPr>
        <w:spacing w:after="160"/>
      </w:pPr>
    </w:p>
    <w:p>
      <w:pPr>
        <w:pStyle w:val="Heading2"/>
      </w:pPr>
      <w:r>
        <w:rPr>
          <w:rFonts w:ascii="Arial" w:cs="Arial" w:eastAsia="Arial" w:hAnsi="Arial"/>
        </w:rPr>
        <w:t xml:space="preserve">3.4 What the literature says: five themes</w:t>
      </w:r>
    </w:p>
    <w:p>
      <w:pPr>
        <w:spacing w:after="120" w:line="288"/>
      </w:pPr>
      <w:r>
        <w:rPr>
          <w:rFonts w:ascii="Arial" w:cs="Arial" w:eastAsia="Arial" w:hAnsi="Arial"/>
          <w:b/>
          <w:bCs/>
          <w:sz w:val="21"/>
          <w:szCs w:val="21"/>
        </w:rPr>
        <w:t xml:space="preserve">1. Simple models stay competitive on small tabular data.</w:t>
      </w:r>
      <w:r>
        <w:rPr>
          <w:rFonts w:ascii="Arial" w:cs="Arial" w:eastAsia="Arial" w:hAnsi="Arial"/>
          <w:sz w:val="21"/>
          <w:szCs w:val="21"/>
        </w:rPr>
        <w:t xml:space="preserve"> Regularised linear models are hard to beat when samples are small and predictors correlated (Hastie et al., 2009). Boosted trees usually lead on mixed tabular data of moderate size, and a systematic benchmark found tree-based models still outperform deep learning on typical tabular problems (Grinsztajn et al., 2022). The practical reading is to start simple, add a boosted model as a challenger, and adopt the complex model only when it earns its place.</w:t>
      </w:r>
    </w:p>
    <w:p>
      <w:pPr>
        <w:spacing w:after="120" w:line="288"/>
      </w:pPr>
      <w:r>
        <w:rPr>
          <w:rFonts w:ascii="Arial" w:cs="Arial" w:eastAsia="Arial" w:hAnsi="Arial"/>
          <w:b/>
          <w:bCs/>
          <w:sz w:val="21"/>
          <w:szCs w:val="21"/>
        </w:rPr>
        <w:t xml:space="preserve">2. Validation design matters as much as the algorithm.</w:t>
      </w:r>
      <w:r>
        <w:rPr>
          <w:rFonts w:ascii="Arial" w:cs="Arial" w:eastAsia="Arial" w:hAnsi="Arial"/>
          <w:sz w:val="21"/>
          <w:szCs w:val="21"/>
        </w:rPr>
        <w:t xml:space="preserve"> Tuning hyperparameters and estimating error on the same folds produces optimistic results (Varma and Simon, 2006; Cawley and Talbot, 2010), which is why nested validation is used here. In panel data a random split puts the same country or state in training and test sets, so accuracy is inflated. Time-forward and group-aware splits answer different, honest questions: can the model predict the future, and can it generalise to a new place?</w:t>
      </w:r>
    </w:p>
    <w:p>
      <w:pPr>
        <w:spacing w:after="120" w:line="288"/>
      </w:pPr>
      <w:r>
        <w:rPr>
          <w:rFonts w:ascii="Arial" w:cs="Arial" w:eastAsia="Arial" w:hAnsi="Arial"/>
          <w:b/>
          <w:bCs/>
          <w:sz w:val="21"/>
          <w:szCs w:val="21"/>
        </w:rPr>
        <w:t xml:space="preserve">3. Unsupervised results need stability evidence.</w:t>
      </w:r>
      <w:r>
        <w:rPr>
          <w:rFonts w:ascii="Arial" w:cs="Arial" w:eastAsia="Arial" w:hAnsi="Arial"/>
          <w:sz w:val="21"/>
          <w:szCs w:val="21"/>
        </w:rPr>
        <w:t xml:space="preserve"> Cluster solutions change with scaling, algorithm and the number of clusters. Good practice combines internal validity indices (silhouette, gap statistic) with resampling stability and a check that profiles make substantive sense.</w:t>
      </w:r>
    </w:p>
    <w:p>
      <w:pPr>
        <w:spacing w:after="120" w:line="288"/>
      </w:pPr>
      <w:r>
        <w:rPr>
          <w:rFonts w:ascii="Arial" w:cs="Arial" w:eastAsia="Arial" w:hAnsi="Arial"/>
          <w:b/>
          <w:bCs/>
          <w:sz w:val="21"/>
          <w:szCs w:val="21"/>
        </w:rPr>
        <w:t xml:space="preserve">4. Explanations help but do not prove.</w:t>
      </w:r>
      <w:r>
        <w:rPr>
          <w:rFonts w:ascii="Arial" w:cs="Arial" w:eastAsia="Arial" w:hAnsi="Arial"/>
          <w:sz w:val="21"/>
          <w:szCs w:val="21"/>
        </w:rPr>
        <w:t xml:space="preserve"> SHAP values give consistent per-feature attributions (Lundberg and Lee, 2017), yet they describe what a model uses, not what causes an outcome. Causal statements require a design such as an experiment or difference-in-differences, as the Strategic Plan already requires.</w:t>
      </w:r>
    </w:p>
    <w:p>
      <w:pPr>
        <w:spacing w:after="120" w:line="288"/>
      </w:pPr>
      <w:r>
        <w:rPr>
          <w:rFonts w:ascii="Arial" w:cs="Arial" w:eastAsia="Arial" w:hAnsi="Arial"/>
          <w:b/>
          <w:bCs/>
          <w:sz w:val="21"/>
          <w:szCs w:val="21"/>
        </w:rPr>
        <w:t xml:space="preserve">5. Accountability failures are well documented.</w:t>
      </w:r>
      <w:r>
        <w:rPr>
          <w:rFonts w:ascii="Arial" w:cs="Arial" w:eastAsia="Arial" w:hAnsi="Arial"/>
          <w:sz w:val="21"/>
          <w:szCs w:val="21"/>
        </w:rPr>
        <w:t xml:space="preserve"> Obermeyer et al. (2019) showed that a widely used health-risk algorithm under-served Black patients because it used past cost as a proxy for need: the choice of target variable carried the bias. Eubanks (2018) examines automated eligibility and risk tools in US public services. Australia's Robodebt scheme, which raised welfare debts through automated data-matching and income averaging, was examined by a Royal Commission that reported in 2023. In the Netherlands, risk-scoring and automated processing in the childcare benefits affair contributed to wrongful fraud accusations, with discriminatory effects documented by Amnesty International (2021). The common lesson is that models used on citizens need a defensible target, subgroup testing and human review before action. This project therefore uses models for analysis and triage support and never for automated denial of service.</w:t>
      </w:r>
    </w:p>
    <w:p>
      <w:pPr>
        <w:pStyle w:val="Heading2"/>
      </w:pPr>
      <w:r>
        <w:rPr>
          <w:rFonts w:ascii="Arial" w:cs="Arial" w:eastAsia="Arial" w:hAnsi="Arial"/>
        </w:rPr>
        <w:t xml:space="preserve">3.5 Applications in Indian e-governance</w:t>
      </w:r>
    </w:p>
    <w:p>
      <w:pPr>
        <w:spacing w:after="120" w:line="288"/>
      </w:pPr>
      <w:r>
        <w:rPr>
          <w:rFonts w:ascii="Arial" w:cs="Arial" w:eastAsia="Arial" w:hAnsi="Arial"/>
          <w:sz w:val="21"/>
          <w:szCs w:val="21"/>
        </w:rPr>
        <w:t xml:space="preserve">The clearest documented use of AI and machine learning in Indian public service data is in grievance redressal. A tripartite agreement signed on 4 August 2020 between the Ministry of Defence, DARPG and IIT Kanpur set out to apply AI and machine learning to exploratory and predictive analysis of grievances filed on CPGRAMS, including geographic analysis of where complaints arise and whether they were adequately addressed. Work on a wider upgrade followed an agreement between IIT Kanpur and DARPG dated 14 December 2021, leading to the Intelligent Grievance Monitoring System (IGMS 2.0). Official descriptions say the system flags urgent grievances using AI and allows spatiotemporal filtering of grievance themes to help identify policy-level and implementation-level root causes. CPGRAMS is reported to receive around 20 lakh grievances a year, a volume that cannot be classified manually.</w:t>
      </w:r>
    </w:p>
    <w:p>
      <w:pPr>
        <w:spacing w:after="120" w:line="288"/>
      </w:pPr>
      <w:r>
        <w:rPr>
          <w:rFonts w:ascii="Arial" w:cs="Arial" w:eastAsia="Arial" w:hAnsi="Arial"/>
          <w:sz w:val="21"/>
          <w:szCs w:val="21"/>
        </w:rPr>
        <w:t xml:space="preserve">For this project the deployment is informative in two ways. It confirms that text classification, topic discovery and geographic analysis of grievances are accepted practice in Indian government, so these methods are defensible as extension modules. It also shows that the data most useful for survival and classification analysis (case-level timestamps and text) sits with the departments, which is why the record-level track in this document depends on an approved extract rather than public download.</w:t>
      </w:r>
    </w:p>
    <w:p>
      <w:pPr>
        <w:pStyle w:val="Heading2"/>
      </w:pPr>
      <w:r>
        <w:rPr>
          <w:rFonts w:ascii="Arial" w:cs="Arial" w:eastAsia="Arial" w:hAnsi="Arial"/>
        </w:rPr>
        <w:t xml:space="preserve">3.6 Synthesis: from literature to design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7"/>
                <w:szCs w:val="17"/>
              </w:rPr>
              <w:t xml:space="preserve">What the literature implies</w:t>
            </w:r>
          </w:p>
        </w:tc>
        <w:tc>
          <w:tcPr>
            <w:tcW w:type="dxa" w:w="572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7"/>
                <w:szCs w:val="17"/>
              </w:rPr>
              <w:t xml:space="preserve">Design choice in this project</w:t>
            </w:r>
          </w:p>
        </w:tc>
      </w:tr>
      <w:tr>
        <w:trPr>
          <w:cantSplit/>
        </w:trPr>
        <w:tc>
          <w:tcPr>
            <w:tcW w:type="dxa" w:w="3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sz w:val="17"/>
                <w:szCs w:val="17"/>
              </w:rPr>
              <w:t xml:space="preserve">Small, correlated, panel-structured data favours regularised and fixed-effects models</w:t>
            </w:r>
          </w:p>
        </w:tc>
        <w:tc>
          <w:tcPr>
            <w:tcW w:type="dxa" w:w="5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Elastic net and fixed-effects regression are the primary explanatory models (A1)</w:t>
            </w:r>
          </w:p>
        </w:tc>
      </w:tr>
      <w:tr>
        <w:trPr>
          <w:cantSplit/>
        </w:trPr>
        <w:tc>
          <w:tcPr>
            <w:tcW w:type="dxa" w:w="3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sz w:val="17"/>
                <w:szCs w:val="17"/>
              </w:rPr>
              <w:t xml:space="preserve">Boosted trees are strong challengers; complexity must be justified</w:t>
            </w:r>
          </w:p>
        </w:tc>
        <w:tc>
          <w:tcPr>
            <w:tcW w:type="dxa" w:w="5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Logistic regression sets the bar; boosted trees are adopted only if they win by more than one standard error (A2)</w:t>
            </w:r>
          </w:p>
        </w:tc>
      </w:tr>
      <w:tr>
        <w:trPr>
          <w:cantSplit/>
        </w:trPr>
        <w:tc>
          <w:tcPr>
            <w:tcW w:type="dxa" w:w="3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sz w:val="17"/>
                <w:szCs w:val="17"/>
              </w:rPr>
              <w:t xml:space="preserve">Optimistic error arises from tuning and testing on the same data, and from random splits of panels</w:t>
            </w:r>
          </w:p>
        </w:tc>
        <w:tc>
          <w:tcPr>
            <w:tcW w:type="dxa" w:w="5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Nested validation; time-forward and grouped splits; sealed test set (Section 6)</w:t>
            </w:r>
          </w:p>
        </w:tc>
      </w:tr>
      <w:tr>
        <w:trPr>
          <w:cantSplit/>
        </w:trPr>
        <w:tc>
          <w:tcPr>
            <w:tcW w:type="dxa" w:w="3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sz w:val="17"/>
                <w:szCs w:val="17"/>
              </w:rPr>
              <w:t xml:space="preserve">Clusters need stability and substantive checks</w:t>
            </w:r>
          </w:p>
        </w:tc>
        <w:tc>
          <w:tcPr>
            <w:tcW w:type="dxa" w:w="5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Silhouette, gap statistic, bootstrap adjusted Rand index and a Ward cross-check (A3)</w:t>
            </w:r>
          </w:p>
        </w:tc>
      </w:tr>
      <w:tr>
        <w:trPr>
          <w:cantSplit/>
        </w:trPr>
        <w:tc>
          <w:tcPr>
            <w:tcW w:type="dxa" w:w="3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sz w:val="17"/>
                <w:szCs w:val="17"/>
              </w:rPr>
              <w:t xml:space="preserve">Censored durations need survival methods</w:t>
            </w:r>
          </w:p>
        </w:tc>
        <w:tc>
          <w:tcPr>
            <w:tcW w:type="dxa" w:w="5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Kaplan–Meier and Cox for resolution times on the record-level track (A4)</w:t>
            </w:r>
          </w:p>
        </w:tc>
      </w:tr>
      <w:tr>
        <w:trPr>
          <w:cantSplit/>
        </w:trPr>
        <w:tc>
          <w:tcPr>
            <w:tcW w:type="dxa" w:w="3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sz w:val="17"/>
                <w:szCs w:val="17"/>
              </w:rPr>
              <w:t xml:space="preserve">Target choice and subgroup performance determine fairness</w:t>
            </w:r>
          </w:p>
        </w:tc>
        <w:tc>
          <w:tcPr>
            <w:tcW w:type="dxa" w:w="5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Targets defined with service owners; metrics reported by segment; human review of any score used in practice (Sections 6.5, 8.6)</w:t>
            </w:r>
          </w:p>
        </w:tc>
      </w:tr>
      <w:tr>
        <w:trPr>
          <w:cantSplit/>
        </w:trPr>
        <w:tc>
          <w:tcPr>
            <w:tcW w:type="dxa" w:w="3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7"/>
                <w:szCs w:val="17"/>
              </w:rPr>
              <w:t xml:space="preserve">Indian grievance data is already analysed with AI/ML, but case-level data is not public</w:t>
            </w:r>
          </w:p>
        </w:tc>
        <w:tc>
          <w:tcPr>
            <w:tcW w:type="dxa" w:w="5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7"/>
                <w:szCs w:val="17"/>
              </w:rPr>
              <w:t xml:space="preserve">Dual-track design; text and anomaly methods kept as extensions</w:t>
            </w:r>
          </w:p>
        </w:tc>
      </w:tr>
    </w:tbl>
    <w:p>
      <w:pPr>
        <w:spacing w:after="160"/>
      </w:pPr>
    </w:p>
    <w:p>
      <w:pPr>
        <w:pStyle w:val="Heading1"/>
      </w:pPr>
      <w:r>
        <w:rPr>
          <w:rFonts w:ascii="Arial" w:cs="Arial" w:eastAsia="Arial" w:hAnsi="Arial"/>
        </w:rPr>
        <w:t xml:space="preserve">4. Problem Framing: From Questions to Analytical Tasks</w:t>
      </w:r>
    </w:p>
    <w:p>
      <w:pPr>
        <w:pStyle w:val="Heading2"/>
      </w:pPr>
      <w:r>
        <w:rPr>
          <w:rFonts w:ascii="Arial" w:cs="Arial" w:eastAsia="Arial" w:hAnsi="Arial"/>
        </w:rPr>
        <w:t xml:space="preserve">4.1 Data tiers and what they imply</w:t>
      </w:r>
    </w:p>
    <w:p>
      <w:pPr>
        <w:keepNext/>
        <w:spacing w:after="120" w:line="288"/>
      </w:pPr>
      <w:r>
        <w:rPr>
          <w:rFonts w:ascii="Arial" w:cs="Arial" w:eastAsia="Arial" w:hAnsi="Arial"/>
          <w:sz w:val="21"/>
          <w:szCs w:val="21"/>
        </w:rPr>
        <w:t xml:space="preserve">Algorithm choice follows from the shape of the data. The four tiers below follow the source register in the Data Acquisition Plan. Sizes are approximate planning figures and must be confirmed at acquisition.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50"/>
        <w:gridCol w:w="1700"/>
        <w:gridCol w:w="2150"/>
        <w:gridCol w:w="2226"/>
      </w:tblGrid>
      <w:tr>
        <w:trPr>
          <w:cantSplit/>
          <w:tblHeader/>
        </w:trPr>
        <w:tc>
          <w:tcPr>
            <w:tcW w:type="dxa" w:w="9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Tier</w:t>
            </w:r>
          </w:p>
        </w:tc>
        <w:tc>
          <w:tcPr>
            <w:tcW w:type="dxa" w:w="205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Content and sources</w:t>
            </w:r>
          </w:p>
        </w:tc>
        <w:tc>
          <w:tcPr>
            <w:tcW w:type="dxa" w:w="17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Unit of analysis</w:t>
            </w:r>
          </w:p>
        </w:tc>
        <w:tc>
          <w:tcPr>
            <w:tcW w:type="dxa" w:w="215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Approximate size</w:t>
            </w:r>
          </w:p>
        </w:tc>
        <w:tc>
          <w:tcPr>
            <w:tcW w:type="dxa" w:w="222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Implication</w:t>
            </w:r>
          </w:p>
        </w:tc>
      </w:tr>
      <w:tr>
        <w:trPr>
          <w:cantSplit/>
        </w:trPr>
        <w:tc>
          <w:tcPr>
            <w:tcW w:type="dxa" w:w="9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A</w:t>
            </w:r>
          </w:p>
        </w:tc>
        <w:tc>
          <w:tcPr>
            <w:tcW w:type="dxa" w:w="20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Cross-country indices and ICT indicators (UN EGDI, OSI, TII, HCI; World Bank; ITU)</w:t>
            </w:r>
          </w:p>
        </w:tc>
        <w:tc>
          <w:tcPr>
            <w:tcW w:type="dxa" w:w="1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Country-edition</w:t>
            </w:r>
          </w:p>
        </w:tc>
        <w:tc>
          <w:tcPr>
            <w:tcW w:type="dxa" w:w="21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Up to about 190 countries by 8 editions (2010 to 2024)</w:t>
            </w:r>
          </w:p>
        </w:tc>
        <w:tc>
          <w:tcPr>
            <w:tcW w:type="dxa" w:w="22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Small data; strong persistence; regularised models; out-of-time and out-of-country splits</w:t>
            </w:r>
          </w:p>
        </w:tc>
      </w:tr>
      <w:tr>
        <w:trPr>
          <w:cantSplit/>
        </w:trPr>
        <w:tc>
          <w:tcPr>
            <w:tcW w:type="dxa" w:w="9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B</w:t>
            </w:r>
          </w:p>
        </w:tc>
        <w:tc>
          <w:tcPr>
            <w:tcW w:type="dxa" w:w="20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India state and circle series (data.gov.in, e-Taal, TRAI)</w:t>
            </w:r>
          </w:p>
        </w:tc>
        <w:tc>
          <w:tcPr>
            <w:tcW w:type="dxa" w:w="1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State-year or circle-quarter</w:t>
            </w:r>
          </w:p>
        </w:tc>
        <w:tc>
          <w:tcPr>
            <w:tcW w:type="dxa" w:w="21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36 states and union territories by up to 15 years</w:t>
            </w:r>
          </w:p>
        </w:tc>
        <w:tc>
          <w:tcPr>
            <w:tcW w:type="dxa" w:w="22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Very small; fixed effects; shallow trees; clustering on latest year</w:t>
            </w:r>
          </w:p>
        </w:tc>
      </w:tr>
      <w:tr>
        <w:trPr>
          <w:cantSplit/>
        </w:trPr>
        <w:tc>
          <w:tcPr>
            <w:tcW w:type="dxa" w:w="9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C</w:t>
            </w:r>
          </w:p>
        </w:tc>
        <w:tc>
          <w:tcPr>
            <w:tcW w:type="dxa" w:w="20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National monthly series (NPCI UPI, e-Taal, CPGRAMS monthly counts)</w:t>
            </w:r>
          </w:p>
        </w:tc>
        <w:tc>
          <w:tcPr>
            <w:tcW w:type="dxa" w:w="1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Month</w:t>
            </w:r>
          </w:p>
        </w:tc>
        <w:tc>
          <w:tcPr>
            <w:tcW w:type="dxa" w:w="21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Roughly 100 to 120 points for UPI since 2016</w:t>
            </w:r>
          </w:p>
        </w:tc>
        <w:tc>
          <w:tcPr>
            <w:tcW w:type="dxa" w:w="22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Classical forecasting; rolling-origin validation</w:t>
            </w:r>
          </w:p>
        </w:tc>
      </w:tr>
      <w:tr>
        <w:trPr>
          <w:cantSplit/>
        </w:trPr>
        <w:tc>
          <w:tcPr>
            <w:tcW w:type="dxa" w:w="9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D</w:t>
            </w:r>
          </w:p>
        </w:tc>
        <w:tc>
          <w:tcPr>
            <w:tcW w:type="dxa" w:w="20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Grievance or application records with timestamps and text (departmental extract)</w:t>
            </w:r>
          </w:p>
        </w:tc>
        <w:tc>
          <w:tcPr>
            <w:tcW w:type="dxa" w:w="1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Case</w:t>
            </w:r>
          </w:p>
        </w:tc>
        <w:tc>
          <w:tcPr>
            <w:tcW w:type="dxa" w:w="21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Potentially lakhs of rows</w:t>
            </w:r>
          </w:p>
        </w:tc>
        <w:tc>
          <w:tcPr>
            <w:tcW w:type="dxa" w:w="22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Not public. Survival, classification and text methods apply only if an extract is approved</w:t>
            </w:r>
          </w:p>
        </w:tc>
      </w:tr>
    </w:tbl>
    <w:p>
      <w:pPr>
        <w:spacing w:after="160"/>
      </w:pPr>
    </w:p>
    <w:p>
      <w:pPr>
        <w:keepNext/>
        <w:pBdr>
          <w:left w:val="single" w:color="2A7F8E" w:sz="24" w:space="8"/>
        </w:pBdr>
        <w:shd w:fill="E8F0F4" w:color="auto" w:val="clear"/>
        <w:spacing w:after="0" w:before="120" w:line="280"/>
        <w:ind w:left="160" w:right="100"/>
      </w:pPr>
      <w:r>
        <w:rPr>
          <w:rFonts w:ascii="Arial" w:cs="Arial" w:eastAsia="Arial" w:hAnsi="Arial"/>
          <w:b/>
          <w:bCs/>
          <w:color w:val="1F3A5F"/>
          <w:sz w:val="20"/>
          <w:szCs w:val="20"/>
        </w:rPr>
        <w:t xml:space="preserve">Dual-track design</w:t>
      </w:r>
    </w:p>
    <w:p>
      <w:pPr>
        <w:pBdr>
          <w:left w:val="single" w:color="2A7F8E" w:sz="24" w:space="8"/>
        </w:pBdr>
        <w:shd w:fill="E8F0F4" w:color="auto" w:val="clear"/>
        <w:spacing w:after="160" w:before="0" w:line="280"/>
        <w:ind w:left="160" w:right="100"/>
      </w:pPr>
      <w:r>
        <w:rPr>
          <w:rFonts w:ascii="Arial" w:cs="Arial" w:eastAsia="Arial" w:hAnsi="Arial"/>
          <w:sz w:val="20"/>
          <w:szCs w:val="20"/>
        </w:rPr>
        <w:t xml:space="preserve">Tracks A to C form the public-data track and can run immediately. Tier D forms the record-level track. Where Tier D is unavailable, the survival and classification modules fall back to state-month aggregates (disposal rates and times as outcomes), which support regression and forecasting but not case-level inference. The document makes no assumption that Tier D exists.</w:t>
      </w:r>
    </w:p>
    <w:p>
      <w:pPr>
        <w:pStyle w:val="Heading2"/>
      </w:pPr>
      <w:r>
        <w:rPr>
          <w:rFonts w:ascii="Arial" w:cs="Arial" w:eastAsia="Arial" w:hAnsi="Arial"/>
        </w:rPr>
        <w:t xml:space="preserve">4.2 Mapping analytical questions to tasks</w:t>
      </w:r>
    </w:p>
    <w:p>
      <w:pPr>
        <w:keepNext/>
        <w:spacing w:after="120" w:line="288"/>
      </w:pPr>
      <w:r>
        <w:rPr>
          <w:rFonts w:ascii="Arial" w:cs="Arial" w:eastAsia="Arial" w:hAnsi="Arial"/>
          <w:sz w:val="21"/>
          <w:szCs w:val="21"/>
        </w:rPr>
        <w:t xml:space="preserve">The four analytical questions come from the Data Acquisition Plan. Each is expressed as one or more tasks with a defined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350"/>
        <w:gridCol w:w="2400"/>
        <w:gridCol w:w="3126"/>
      </w:tblGrid>
      <w:tr>
        <w:trPr>
          <w:cantSplit/>
          <w:tblHeader/>
        </w:trPr>
        <w:tc>
          <w:tcPr>
            <w:tcW w:type="dxa" w:w="215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Analytical question</w:t>
            </w:r>
          </w:p>
        </w:tc>
        <w:tc>
          <w:tcPr>
            <w:tcW w:type="dxa" w:w="135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Task type</w:t>
            </w:r>
          </w:p>
        </w:tc>
        <w:tc>
          <w:tcPr>
            <w:tcW w:type="dxa" w:w="24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Target and unit</w:t>
            </w:r>
          </w:p>
        </w:tc>
        <w:tc>
          <w:tcPr>
            <w:tcW w:type="dxa" w:w="312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Algorithms (primary, supporting)</w:t>
            </w:r>
          </w:p>
        </w:tc>
      </w:tr>
      <w:tr>
        <w:trPr>
          <w:cantSplit/>
        </w:trPr>
        <w:tc>
          <w:tcPr>
            <w:tcW w:type="dxa" w:w="21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Q1. How does adoption of digital services vary by state, country and year?</w:t>
            </w:r>
          </w:p>
        </w:tc>
        <w:tc>
          <w:tcPr>
            <w:tcW w:type="dxa" w:w="13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Regression; clustering; forecasting</w:t>
            </w:r>
          </w:p>
        </w:tc>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log of e-Taal transactions per 1,000 population (state-year); monthly UPI and e-Taal volumes</w:t>
            </w:r>
          </w:p>
        </w:tc>
        <w:tc>
          <w:tcPr>
            <w:tcW w:type="dxa" w:w="31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A1 elastic net and fixed effects; A3 clustering of states; A5 forecasting</w:t>
            </w:r>
          </w:p>
        </w:tc>
      </w:tr>
      <w:tr>
        <w:trPr>
          <w:cantSplit/>
        </w:trPr>
        <w:tc>
          <w:tcPr>
            <w:tcW w:type="dxa" w:w="21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Q2. How mature is online service delivery (availability, volume, grievance speed)?</w:t>
            </w:r>
          </w:p>
        </w:tc>
        <w:tc>
          <w:tcPr>
            <w:tcW w:type="dxa" w:w="13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Regression; classification; survival</w:t>
            </w:r>
          </w:p>
        </w:tc>
        <w:tc>
          <w:tcPr>
            <w:tcW w:type="dxa" w:w="2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OSI (country-edition); SLA breach (case); time to resolution (case)</w:t>
            </w:r>
          </w:p>
        </w:tc>
        <w:tc>
          <w:tcPr>
            <w:tcW w:type="dxa" w:w="31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A1; A2 boosted trees; A4 Kaplan–Meier and Cox</w:t>
            </w:r>
          </w:p>
        </w:tc>
      </w:tr>
      <w:tr>
        <w:trPr>
          <w:cantSplit/>
        </w:trPr>
        <w:tc>
          <w:tcPr>
            <w:tcW w:type="dxa" w:w="21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Q3. How do internet users, broadband and mobile relate to e-governance outcomes?</w:t>
            </w:r>
          </w:p>
        </w:tc>
        <w:tc>
          <w:tcPr>
            <w:tcW w:type="dxa" w:w="13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Regression; explanation</w:t>
            </w:r>
          </w:p>
        </w:tc>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OSI and adoption rate as above; predictors from World Bank, ITU, TRAI</w:t>
            </w:r>
          </w:p>
        </w:tc>
        <w:tc>
          <w:tcPr>
            <w:tcW w:type="dxa" w:w="31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A1 with stability selection; A2 with SHAP for non-linear effects</w:t>
            </w:r>
          </w:p>
        </w:tc>
      </w:tr>
      <w:tr>
        <w:trPr>
          <w:cantSplit/>
        </w:trPr>
        <w:tc>
          <w:tcPr>
            <w:tcW w:type="dxa" w:w="21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Q4. How does India compare with peer countries?</w:t>
            </w:r>
          </w:p>
        </w:tc>
        <w:tc>
          <w:tcPr>
            <w:tcW w:type="dxa" w:w="13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Residual analysis; clustering; classification</w:t>
            </w:r>
          </w:p>
        </w:tc>
        <w:tc>
          <w:tcPr>
            <w:tcW w:type="dxa" w:w="2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OSI residual; cluster membership; probability of moving up an EGDI level group</w:t>
            </w:r>
          </w:p>
        </w:tc>
        <w:tc>
          <w:tcPr>
            <w:tcW w:type="dxa" w:w="31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A1 residuals; A3 peer set; A2 classifier</w:t>
            </w:r>
          </w:p>
        </w:tc>
      </w:tr>
    </w:tbl>
    <w:p>
      <w:pPr>
        <w:spacing w:after="160"/>
      </w:pPr>
    </w:p>
    <w:p>
      <w:pPr>
        <w:pStyle w:val="Heading2"/>
      </w:pPr>
      <w:r>
        <w:rPr>
          <w:rFonts w:ascii="Arial" w:cs="Arial" w:eastAsia="Arial" w:hAnsi="Arial"/>
        </w:rPr>
        <w:t xml:space="preserve">4.3 Target definitions and leakage controls</w:t>
      </w:r>
    </w:p>
    <w:p>
      <w:pPr>
        <w:pStyle w:val="ListParagraph"/>
        <w:numPr>
          <w:ilvl w:val="0"/>
          <w:numId w:val="2"/>
        </w:numPr>
        <w:spacing w:after="70" w:line="280"/>
      </w:pPr>
      <w:r>
        <w:rPr>
          <w:rFonts w:ascii="Arial" w:cs="Arial" w:eastAsia="Arial" w:hAnsi="Arial"/>
          <w:b/>
          <w:bCs/>
          <w:sz w:val="21"/>
          <w:szCs w:val="21"/>
        </w:rPr>
        <w:t xml:space="preserve">Regression targets.</w:t>
      </w:r>
      <w:r>
        <w:rPr>
          <w:rFonts w:ascii="Arial" w:cs="Arial" w:eastAsia="Arial" w:hAnsi="Arial"/>
          <w:sz w:val="21"/>
          <w:szCs w:val="21"/>
        </w:rPr>
        <w:t xml:space="preserve"> (R1) OSI per country-edition, a continuous index from 0 to 1. (R2) log of e-Taal transactions per 1,000 population per state-year. EGDI itself is modelled only with external predictors (World Bank and ITU indicators), never with TII, HCI or OSI, because it is built from them.</w:t>
      </w:r>
    </w:p>
    <w:p>
      <w:pPr>
        <w:pStyle w:val="ListParagraph"/>
        <w:numPr>
          <w:ilvl w:val="0"/>
          <w:numId w:val="2"/>
        </w:numPr>
        <w:spacing w:after="70" w:line="280"/>
      </w:pPr>
      <w:r>
        <w:rPr>
          <w:rFonts w:ascii="Arial" w:cs="Arial" w:eastAsia="Arial" w:hAnsi="Arial"/>
          <w:b/>
          <w:bCs/>
          <w:sz w:val="21"/>
          <w:szCs w:val="21"/>
        </w:rPr>
        <w:t xml:space="preserve">Classification targets.</w:t>
      </w:r>
      <w:r>
        <w:rPr>
          <w:rFonts w:ascii="Arial" w:cs="Arial" w:eastAsia="Arial" w:hAnsi="Arial"/>
          <w:sz w:val="21"/>
          <w:szCs w:val="21"/>
        </w:rPr>
        <w:t xml:space="preserve"> (C1, public track) Whether a country moves up an EGDI level group between consecutive editions, using only information from the earlier edition. Upgrades are uncommon, so the class is imbalanced. (C2, record-level track) Whether a grievance remains unresolved beyond a service-level threshold (for example 30 days), using only fields known at filing or within the first days.</w:t>
      </w:r>
    </w:p>
    <w:p>
      <w:pPr>
        <w:pStyle w:val="ListParagraph"/>
        <w:numPr>
          <w:ilvl w:val="0"/>
          <w:numId w:val="2"/>
        </w:numPr>
        <w:spacing w:after="70" w:line="280"/>
      </w:pPr>
      <w:r>
        <w:rPr>
          <w:rFonts w:ascii="Arial" w:cs="Arial" w:eastAsia="Arial" w:hAnsi="Arial"/>
          <w:b/>
          <w:bCs/>
          <w:sz w:val="21"/>
          <w:szCs w:val="21"/>
        </w:rPr>
        <w:t xml:space="preserve">Survival target.</w:t>
      </w:r>
      <w:r>
        <w:rPr>
          <w:rFonts w:ascii="Arial" w:cs="Arial" w:eastAsia="Arial" w:hAnsi="Arial"/>
          <w:sz w:val="21"/>
          <w:szCs w:val="21"/>
        </w:rPr>
        <w:t xml:space="preserve"> Time in days from submission to resolution, with an event flag and open cases censored at the extraction date.</w:t>
      </w:r>
    </w:p>
    <w:p>
      <w:pPr>
        <w:pStyle w:val="ListParagraph"/>
        <w:numPr>
          <w:ilvl w:val="0"/>
          <w:numId w:val="2"/>
        </w:numPr>
        <w:spacing w:after="70" w:line="280"/>
      </w:pPr>
      <w:r>
        <w:rPr>
          <w:rFonts w:ascii="Arial" w:cs="Arial" w:eastAsia="Arial" w:hAnsi="Arial"/>
          <w:b/>
          <w:bCs/>
          <w:sz w:val="21"/>
          <w:szCs w:val="21"/>
        </w:rPr>
        <w:t xml:space="preserve">Candidate predictors (Tier A).</w:t>
      </w:r>
      <w:r>
        <w:rPr>
          <w:rFonts w:ascii="Arial" w:cs="Arial" w:eastAsia="Arial" w:hAnsi="Arial"/>
          <w:sz w:val="21"/>
          <w:szCs w:val="21"/>
        </w:rPr>
        <w:t xml:space="preserve"> Internet users (IT.NET.USER.ZS), mobile subscriptions (IT.CEL.SETS.P2), fixed broadband (IT.NET.BBND.P2), GDP per capita (NY.GDP.PCAP.KD), government effectiveness (GE.EST), schooling or literacy, region and income group. Indicator codes must be re-verified on the day of acquisition, as the Data Acquisition Plan requires.</w:t>
      </w:r>
    </w:p>
    <w:p>
      <w:pPr>
        <w:pStyle w:val="ListParagraph"/>
        <w:numPr>
          <w:ilvl w:val="0"/>
          <w:numId w:val="2"/>
        </w:numPr>
        <w:spacing w:after="70" w:line="280"/>
      </w:pPr>
      <w:r>
        <w:rPr>
          <w:rFonts w:ascii="Arial" w:cs="Arial" w:eastAsia="Arial" w:hAnsi="Arial"/>
          <w:b/>
          <w:bCs/>
          <w:sz w:val="21"/>
          <w:szCs w:val="21"/>
        </w:rPr>
        <w:t xml:space="preserve">Leakage audit.</w:t>
      </w:r>
      <w:r>
        <w:rPr>
          <w:rFonts w:ascii="Arial" w:cs="Arial" w:eastAsia="Arial" w:hAnsi="Arial"/>
          <w:sz w:val="21"/>
          <w:szCs w:val="21"/>
        </w:rPr>
        <w:t xml:space="preserve"> Each feature is checked for three problems before modelling: it is a component of the target; it is only known after the target is realised; or it is derived using test-period information. Failures are removed and logged.</w:t>
      </w:r>
    </w:p>
    <w:p>
      <w:pPr>
        <w:pStyle w:val="Heading1"/>
      </w:pPr>
      <w:r>
        <w:rPr>
          <w:rFonts w:ascii="Arial" w:cs="Arial" w:eastAsia="Arial" w:hAnsi="Arial"/>
        </w:rPr>
        <w:t xml:space="preserve">5. Algorithm Selection and Rationale</w:t>
      </w:r>
    </w:p>
    <w:p>
      <w:pPr>
        <w:pStyle w:val="Heading2"/>
      </w:pPr>
      <w:r>
        <w:rPr>
          <w:rFonts w:ascii="Arial" w:cs="Arial" w:eastAsia="Arial" w:hAnsi="Arial"/>
        </w:rPr>
        <w:t xml:space="preserve">5.1 Selection criteria</w:t>
      </w:r>
    </w:p>
    <w:p>
      <w:pPr>
        <w:pStyle w:val="ListParagraph"/>
        <w:numPr>
          <w:ilvl w:val="0"/>
          <w:numId w:val="3"/>
        </w:numPr>
        <w:spacing w:after="70" w:line="280"/>
      </w:pPr>
      <w:r>
        <w:rPr>
          <w:rFonts w:ascii="Arial" w:cs="Arial" w:eastAsia="Arial" w:hAnsi="Arial"/>
          <w:b/>
          <w:bCs/>
          <w:sz w:val="21"/>
          <w:szCs w:val="21"/>
        </w:rPr>
        <w:t xml:space="preserve">Fit to data size and structure.</w:t>
      </w:r>
      <w:r>
        <w:rPr>
          <w:rFonts w:ascii="Arial" w:cs="Arial" w:eastAsia="Arial" w:hAnsi="Arial"/>
          <w:sz w:val="21"/>
          <w:szCs w:val="21"/>
        </w:rPr>
        <w:t xml:space="preserve"> Methods must work on small, correlated panels and on short seasonal series.</w:t>
      </w:r>
    </w:p>
    <w:p>
      <w:pPr>
        <w:pStyle w:val="ListParagraph"/>
        <w:numPr>
          <w:ilvl w:val="0"/>
          <w:numId w:val="3"/>
        </w:numPr>
        <w:spacing w:after="70" w:line="280"/>
      </w:pPr>
      <w:r>
        <w:rPr>
          <w:rFonts w:ascii="Arial" w:cs="Arial" w:eastAsia="Arial" w:hAnsi="Arial"/>
          <w:b/>
          <w:bCs/>
          <w:sz w:val="21"/>
          <w:szCs w:val="21"/>
        </w:rPr>
        <w:t xml:space="preserve">Fit to task.</w:t>
      </w:r>
      <w:r>
        <w:rPr>
          <w:rFonts w:ascii="Arial" w:cs="Arial" w:eastAsia="Arial" w:hAnsi="Arial"/>
          <w:sz w:val="21"/>
          <w:szCs w:val="21"/>
        </w:rPr>
        <w:t xml:space="preserve"> Explanation, prediction, grouping, time-to-event and forecasting each need different tools.</w:t>
      </w:r>
    </w:p>
    <w:p>
      <w:pPr>
        <w:pStyle w:val="ListParagraph"/>
        <w:numPr>
          <w:ilvl w:val="0"/>
          <w:numId w:val="3"/>
        </w:numPr>
        <w:spacing w:after="70" w:line="280"/>
      </w:pPr>
      <w:r>
        <w:rPr>
          <w:rFonts w:ascii="Arial" w:cs="Arial" w:eastAsia="Arial" w:hAnsi="Arial"/>
          <w:b/>
          <w:bCs/>
          <w:sz w:val="21"/>
          <w:szCs w:val="21"/>
        </w:rPr>
        <w:t xml:space="preserve">Interpretability.</w:t>
      </w:r>
      <w:r>
        <w:rPr>
          <w:rFonts w:ascii="Arial" w:cs="Arial" w:eastAsia="Arial" w:hAnsi="Arial"/>
          <w:sz w:val="21"/>
          <w:szCs w:val="21"/>
        </w:rPr>
        <w:t xml:space="preserve"> Officials must be able to follow and challenge how a result was reached.</w:t>
      </w:r>
    </w:p>
    <w:p>
      <w:pPr>
        <w:pStyle w:val="ListParagraph"/>
        <w:numPr>
          <w:ilvl w:val="0"/>
          <w:numId w:val="3"/>
        </w:numPr>
        <w:spacing w:after="70" w:line="280"/>
      </w:pPr>
      <w:r>
        <w:rPr>
          <w:rFonts w:ascii="Arial" w:cs="Arial" w:eastAsia="Arial" w:hAnsi="Arial"/>
          <w:b/>
          <w:bCs/>
          <w:sz w:val="21"/>
          <w:szCs w:val="21"/>
        </w:rPr>
        <w:t xml:space="preserve">Robustness.</w:t>
      </w:r>
      <w:r>
        <w:rPr>
          <w:rFonts w:ascii="Arial" w:cs="Arial" w:eastAsia="Arial" w:hAnsi="Arial"/>
          <w:sz w:val="21"/>
          <w:szCs w:val="21"/>
        </w:rPr>
        <w:t xml:space="preserve"> Tolerance of outliers, missing values, multicollinearity and noisy labels.</w:t>
      </w:r>
    </w:p>
    <w:p>
      <w:pPr>
        <w:pStyle w:val="ListParagraph"/>
        <w:numPr>
          <w:ilvl w:val="0"/>
          <w:numId w:val="3"/>
        </w:numPr>
        <w:spacing w:after="70" w:line="280"/>
      </w:pPr>
      <w:r>
        <w:rPr>
          <w:rFonts w:ascii="Arial" w:cs="Arial" w:eastAsia="Arial" w:hAnsi="Arial"/>
          <w:b/>
          <w:bCs/>
          <w:sz w:val="21"/>
          <w:szCs w:val="21"/>
        </w:rPr>
        <w:t xml:space="preserve">Validation and fairness tractability.</w:t>
      </w:r>
      <w:r>
        <w:rPr>
          <w:rFonts w:ascii="Arial" w:cs="Arial" w:eastAsia="Arial" w:hAnsi="Arial"/>
          <w:sz w:val="21"/>
          <w:szCs w:val="21"/>
        </w:rPr>
        <w:t xml:space="preserve"> The method must allow honest out-of-sample testing and subgroup checks.</w:t>
      </w:r>
    </w:p>
    <w:p>
      <w:pPr>
        <w:pStyle w:val="ListParagraph"/>
        <w:numPr>
          <w:ilvl w:val="0"/>
          <w:numId w:val="3"/>
        </w:numPr>
        <w:spacing w:after="70" w:line="280"/>
      </w:pPr>
      <w:r>
        <w:rPr>
          <w:rFonts w:ascii="Arial" w:cs="Arial" w:eastAsia="Arial" w:hAnsi="Arial"/>
          <w:b/>
          <w:bCs/>
          <w:sz w:val="21"/>
          <w:szCs w:val="21"/>
        </w:rPr>
        <w:t xml:space="preserve">Feasibility.</w:t>
      </w:r>
      <w:r>
        <w:rPr>
          <w:rFonts w:ascii="Arial" w:cs="Arial" w:eastAsia="Arial" w:hAnsi="Arial"/>
          <w:sz w:val="21"/>
          <w:szCs w:val="21"/>
        </w:rPr>
        <w:t xml:space="preserve"> Open-source implementation, and effort that fits the 33-hour budget.</w:t>
      </w:r>
    </w:p>
    <w:p>
      <w:pPr>
        <w:pStyle w:val="Heading2"/>
      </w:pPr>
      <w:r>
        <w:rPr>
          <w:rFonts w:ascii="Arial" w:cs="Arial" w:eastAsia="Arial" w:hAnsi="Arial"/>
        </w:rPr>
        <w:t xml:space="preserve">5.2 Candidate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800"/>
        <w:gridCol w:w="1400"/>
        <w:gridCol w:w="1726"/>
      </w:tblGrid>
      <w:tr>
        <w:trPr>
          <w:cantSplit/>
          <w:tblHeader/>
        </w:trPr>
        <w:tc>
          <w:tcPr>
            <w:tcW w:type="dxa" w:w="18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Candidate</w:t>
            </w:r>
          </w:p>
        </w:tc>
        <w:tc>
          <w:tcPr>
            <w:tcW w:type="dxa" w:w="13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Task</w:t>
            </w:r>
          </w:p>
        </w:tc>
        <w:tc>
          <w:tcPr>
            <w:tcW w:type="dxa" w:w="28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Fit to this data</w:t>
            </w:r>
          </w:p>
        </w:tc>
        <w:tc>
          <w:tcPr>
            <w:tcW w:type="dxa" w:w="14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Interpretability</w:t>
            </w:r>
          </w:p>
        </w:tc>
        <w:tc>
          <w:tcPr>
            <w:tcW w:type="dxa" w:w="172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Decision</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OLS and panel fixed effects</w:t>
            </w:r>
          </w:p>
        </w:tc>
        <w:tc>
          <w:tcPr>
            <w:tcW w:type="dxa" w:w="1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Regression</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Suits panels; unstable with collinear predictors</w:t>
            </w:r>
          </w:p>
        </w:tc>
        <w:tc>
          <w:tcPr>
            <w:tcW w:type="dxa" w:w="1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High</w:t>
            </w:r>
          </w:p>
        </w:tc>
        <w:tc>
          <w:tcPr>
            <w:tcW w:type="dxa" w:w="1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Selected, alongside elastic net (A1)</w:t>
            </w:r>
          </w:p>
        </w:tc>
      </w:tr>
      <w:tr>
        <w:trPr>
          <w:cantSplit/>
        </w:trPr>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Elastic net</w:t>
            </w:r>
          </w:p>
        </w:tc>
        <w:tc>
          <w:tcPr>
            <w:tcW w:type="dxa" w:w="1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Regression</w:t>
            </w:r>
          </w:p>
        </w:tc>
        <w:tc>
          <w:tcPr>
            <w:tcW w:type="dxa" w:w="2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Very good on small, correlated data</w:t>
            </w:r>
          </w:p>
        </w:tc>
        <w:tc>
          <w:tcPr>
            <w:tcW w:type="dxa" w:w="1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High</w:t>
            </w:r>
          </w:p>
        </w:tc>
        <w:tc>
          <w:tcPr>
            <w:tcW w:type="dxa" w:w="1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Selected (A1)</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Random forest</w:t>
            </w:r>
          </w:p>
        </w:tc>
        <w:tc>
          <w:tcPr>
            <w:tcW w:type="dxa" w:w="1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Classification, regression</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Good; little tuning</w:t>
            </w:r>
          </w:p>
        </w:tc>
        <w:tc>
          <w:tcPr>
            <w:tcW w:type="dxa" w:w="1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Medium</w:t>
            </w:r>
          </w:p>
        </w:tc>
        <w:tc>
          <w:tcPr>
            <w:tcW w:type="dxa" w:w="1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Benchmark (A2)</w:t>
            </w:r>
          </w:p>
        </w:tc>
      </w:tr>
      <w:tr>
        <w:trPr>
          <w:cantSplit/>
        </w:trPr>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Gradient boosting</w:t>
            </w:r>
          </w:p>
        </w:tc>
        <w:tc>
          <w:tcPr>
            <w:tcW w:type="dxa" w:w="1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Classification, regression</w:t>
            </w:r>
          </w:p>
        </w:tc>
        <w:tc>
          <w:tcPr>
            <w:tcW w:type="dxa" w:w="2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Strong on mixed tabular data</w:t>
            </w:r>
          </w:p>
        </w:tc>
        <w:tc>
          <w:tcPr>
            <w:tcW w:type="dxa" w:w="1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Medium, high with SHAP</w:t>
            </w:r>
          </w:p>
        </w:tc>
        <w:tc>
          <w:tcPr>
            <w:tcW w:type="dxa" w:w="1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Selected (A2)</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Support vector machine</w:t>
            </w:r>
          </w:p>
        </w:tc>
        <w:tc>
          <w:tcPr>
            <w:tcW w:type="dxa" w:w="1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Classification</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Workable, but weak probability output and explanation</w:t>
            </w:r>
          </w:p>
        </w:tc>
        <w:tc>
          <w:tcPr>
            <w:tcW w:type="dxa" w:w="1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Low</w:t>
            </w:r>
          </w:p>
        </w:tc>
        <w:tc>
          <w:tcPr>
            <w:tcW w:type="dxa" w:w="1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Not selected</w:t>
            </w:r>
          </w:p>
        </w:tc>
      </w:tr>
      <w:tr>
        <w:trPr>
          <w:cantSplit/>
        </w:trPr>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Neural networks, tabular transformers</w:t>
            </w:r>
          </w:p>
        </w:tc>
        <w:tc>
          <w:tcPr>
            <w:tcW w:type="dxa" w:w="1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Both</w:t>
            </w:r>
          </w:p>
        </w:tc>
        <w:tc>
          <w:tcPr>
            <w:tcW w:type="dxa" w:w="2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Need large samples; no clear advantage on small tabular data</w:t>
            </w:r>
          </w:p>
        </w:tc>
        <w:tc>
          <w:tcPr>
            <w:tcW w:type="dxa" w:w="1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Low</w:t>
            </w:r>
          </w:p>
        </w:tc>
        <w:tc>
          <w:tcPr>
            <w:tcW w:type="dxa" w:w="1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Not selected</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k-means</w:t>
            </w:r>
          </w:p>
        </w:tc>
        <w:tc>
          <w:tcPr>
            <w:tcW w:type="dxa" w:w="1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Clustering</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Good on standardised numeric indicators</w:t>
            </w:r>
          </w:p>
        </w:tc>
        <w:tc>
          <w:tcPr>
            <w:tcW w:type="dxa" w:w="1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High</w:t>
            </w:r>
          </w:p>
        </w:tc>
        <w:tc>
          <w:tcPr>
            <w:tcW w:type="dxa" w:w="1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Selected (A3)</w:t>
            </w:r>
          </w:p>
        </w:tc>
      </w:tr>
      <w:tr>
        <w:trPr>
          <w:cantSplit/>
        </w:trPr>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Ward hierarchical</w:t>
            </w:r>
          </w:p>
        </w:tc>
        <w:tc>
          <w:tcPr>
            <w:tcW w:type="dxa" w:w="1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Clustering</w:t>
            </w:r>
          </w:p>
        </w:tc>
        <w:tc>
          <w:tcPr>
            <w:tcW w:type="dxa" w:w="2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Good for hundreds of units; shows nesting</w:t>
            </w:r>
          </w:p>
        </w:tc>
        <w:tc>
          <w:tcPr>
            <w:tcW w:type="dxa" w:w="1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High</w:t>
            </w:r>
          </w:p>
        </w:tc>
        <w:tc>
          <w:tcPr>
            <w:tcW w:type="dxa" w:w="1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Cross-check (A3)</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DBSCAN, HDBSCAN</w:t>
            </w:r>
          </w:p>
        </w:tc>
        <w:tc>
          <w:tcPr>
            <w:tcW w:type="dxa" w:w="1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Clustering</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For irregular shapes and noise points</w:t>
            </w:r>
          </w:p>
        </w:tc>
        <w:tc>
          <w:tcPr>
            <w:tcW w:type="dxa" w:w="1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Medium</w:t>
            </w:r>
          </w:p>
        </w:tc>
        <w:tc>
          <w:tcPr>
            <w:tcW w:type="dxa" w:w="1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Conditional (A3)</w:t>
            </w:r>
          </w:p>
        </w:tc>
      </w:tr>
      <w:tr>
        <w:trPr>
          <w:cantSplit/>
        </w:trPr>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Gaussian mixture</w:t>
            </w:r>
          </w:p>
        </w:tc>
        <w:tc>
          <w:tcPr>
            <w:tcW w:type="dxa" w:w="1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Clustering</w:t>
            </w:r>
          </w:p>
        </w:tc>
        <w:tc>
          <w:tcPr>
            <w:tcW w:type="dxa" w:w="2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Soft membership but needs more data</w:t>
            </w:r>
          </w:p>
        </w:tc>
        <w:tc>
          <w:tcPr>
            <w:tcW w:type="dxa" w:w="1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Medium</w:t>
            </w:r>
          </w:p>
        </w:tc>
        <w:tc>
          <w:tcPr>
            <w:tcW w:type="dxa" w:w="1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Not selected</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Kaplan–Meier and Cox</w:t>
            </w:r>
          </w:p>
        </w:tc>
        <w:tc>
          <w:tcPr>
            <w:tcW w:type="dxa" w:w="1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Survival</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Correct treatment of open cases</w:t>
            </w:r>
          </w:p>
        </w:tc>
        <w:tc>
          <w:tcPr>
            <w:tcW w:type="dxa" w:w="1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High</w:t>
            </w:r>
          </w:p>
        </w:tc>
        <w:tc>
          <w:tcPr>
            <w:tcW w:type="dxa" w:w="1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Selected (A4)</w:t>
            </w:r>
          </w:p>
        </w:tc>
      </w:tr>
      <w:tr>
        <w:trPr>
          <w:cantSplit/>
        </w:trPr>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ETS and SARIMA</w:t>
            </w:r>
          </w:p>
        </w:tc>
        <w:tc>
          <w:tcPr>
            <w:tcW w:type="dxa" w:w="1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Forecasting</w:t>
            </w:r>
          </w:p>
        </w:tc>
        <w:tc>
          <w:tcPr>
            <w:tcW w:type="dxa" w:w="2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Strong baselines on short seasonal series</w:t>
            </w:r>
          </w:p>
        </w:tc>
        <w:tc>
          <w:tcPr>
            <w:tcW w:type="dxa" w:w="1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High</w:t>
            </w:r>
          </w:p>
        </w:tc>
        <w:tc>
          <w:tcPr>
            <w:tcW w:type="dxa" w:w="1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Selected (A5)</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LSTM and deep forecasters</w:t>
            </w:r>
          </w:p>
        </w:tc>
        <w:tc>
          <w:tcPr>
            <w:tcW w:type="dxa" w:w="1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Forecasting</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Need long histories</w:t>
            </w:r>
          </w:p>
        </w:tc>
        <w:tc>
          <w:tcPr>
            <w:tcW w:type="dxa" w:w="1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Low</w:t>
            </w:r>
          </w:p>
        </w:tc>
        <w:tc>
          <w:tcPr>
            <w:tcW w:type="dxa" w:w="1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Not selected</w:t>
            </w:r>
          </w:p>
        </w:tc>
      </w:tr>
      <w:tr>
        <w:trPr>
          <w:cantSplit/>
        </w:trPr>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Isolation forest</w:t>
            </w:r>
          </w:p>
        </w:tc>
        <w:tc>
          <w:tcPr>
            <w:tcW w:type="dxa" w:w="1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Anomaly</w:t>
            </w:r>
          </w:p>
        </w:tc>
        <w:tc>
          <w:tcPr>
            <w:tcW w:type="dxa" w:w="2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Unsupervised, scalable</w:t>
            </w:r>
          </w:p>
        </w:tc>
        <w:tc>
          <w:tcPr>
            <w:tcW w:type="dxa" w:w="1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Medium</w:t>
            </w:r>
          </w:p>
        </w:tc>
        <w:tc>
          <w:tcPr>
            <w:tcW w:type="dxa" w:w="1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Extension (A7)</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sz w:val="16"/>
                <w:szCs w:val="16"/>
              </w:rPr>
              <w:t xml:space="preserve">TF-IDF classifier, BERTopic</w:t>
            </w:r>
          </w:p>
        </w:tc>
        <w:tc>
          <w:tcPr>
            <w:tcW w:type="dxa" w:w="1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Text</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Need record-level text</w:t>
            </w:r>
          </w:p>
        </w:tc>
        <w:tc>
          <w:tcPr>
            <w:tcW w:type="dxa" w:w="1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Medium</w:t>
            </w:r>
          </w:p>
        </w:tc>
        <w:tc>
          <w:tcPr>
            <w:tcW w:type="dxa" w:w="1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Extension (A6)</w:t>
            </w:r>
          </w:p>
        </w:tc>
      </w:tr>
    </w:tbl>
    <w:p>
      <w:pPr>
        <w:spacing w:after="160"/>
      </w:pPr>
    </w:p>
    <w:p>
      <w:pPr>
        <w:pStyle w:val="Heading2"/>
      </w:pPr>
      <w:r>
        <w:rPr>
          <w:rFonts w:ascii="Arial" w:cs="Arial" w:eastAsia="Arial" w:hAnsi="Arial"/>
        </w:rPr>
        <w:t xml:space="preserve">5.3 The selected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800"/>
        <w:gridCol w:w="3926"/>
      </w:tblGrid>
      <w:tr>
        <w:trPr>
          <w:cantSplit/>
          <w:tblHeader/>
        </w:trPr>
        <w:tc>
          <w:tcPr>
            <w:tcW w:type="dxa" w:w="6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7"/>
                <w:szCs w:val="17"/>
              </w:rPr>
              <w:t xml:space="preserve">ID</w:t>
            </w:r>
          </w:p>
        </w:tc>
        <w:tc>
          <w:tcPr>
            <w:tcW w:type="dxa" w:w="27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7"/>
                <w:szCs w:val="17"/>
              </w:rPr>
              <w:t xml:space="preserve">Algorithm</w:t>
            </w:r>
          </w:p>
        </w:tc>
        <w:tc>
          <w:tcPr>
            <w:tcW w:type="dxa" w:w="18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7"/>
                <w:szCs w:val="17"/>
              </w:rPr>
              <w:t xml:space="preserve">Role</w:t>
            </w:r>
          </w:p>
        </w:tc>
        <w:tc>
          <w:tcPr>
            <w:tcW w:type="dxa" w:w="392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7"/>
                <w:szCs w:val="17"/>
              </w:rPr>
              <w:t xml:space="preserve">Applies to</w:t>
            </w:r>
          </w:p>
        </w:tc>
      </w:tr>
      <w:tr>
        <w:trPr>
          <w:cantSplit/>
        </w:trPr>
        <w:tc>
          <w:tcPr>
            <w:tcW w:type="dxa" w:w="6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7"/>
                <w:szCs w:val="17"/>
              </w:rPr>
              <w:t xml:space="preserve">A1</w:t>
            </w:r>
          </w:p>
        </w:tc>
        <w:tc>
          <w:tcPr>
            <w:tcW w:type="dxa" w:w="2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Elastic net and fixed-effects panel regression</w:t>
            </w:r>
          </w:p>
        </w:tc>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Core: regression</w:t>
            </w:r>
          </w:p>
        </w:tc>
        <w:tc>
          <w:tcPr>
            <w:tcW w:type="dxa" w:w="39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Tiers A and B (R1, R2)</w:t>
            </w:r>
          </w:p>
        </w:tc>
      </w:tr>
      <w:tr>
        <w:trPr>
          <w:cantSplit/>
        </w:trPr>
        <w:tc>
          <w:tcPr>
            <w:tcW w:type="dxa" w:w="6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7"/>
                <w:szCs w:val="17"/>
              </w:rPr>
              <w:t xml:space="preserve">A2</w:t>
            </w:r>
          </w:p>
        </w:tc>
        <w:tc>
          <w:tcPr>
            <w:tcW w:type="dxa" w:w="2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Logistic regression baseline and gradient-boosted trees, with random forest cross-check</w:t>
            </w:r>
          </w:p>
        </w:tc>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Core: classification</w:t>
            </w:r>
          </w:p>
        </w:tc>
        <w:tc>
          <w:tcPr>
            <w:tcW w:type="dxa" w:w="39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Tier A (C1); Tier D (C2) if available</w:t>
            </w:r>
          </w:p>
        </w:tc>
      </w:tr>
      <w:tr>
        <w:trPr>
          <w:cantSplit/>
        </w:trPr>
        <w:tc>
          <w:tcPr>
            <w:tcW w:type="dxa" w:w="6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7"/>
                <w:szCs w:val="17"/>
              </w:rPr>
              <w:t xml:space="preserve">A3</w:t>
            </w:r>
          </w:p>
        </w:tc>
        <w:tc>
          <w:tcPr>
            <w:tcW w:type="dxa" w:w="2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k-means with Ward cross-check</w:t>
            </w:r>
          </w:p>
        </w:tc>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Core: clustering</w:t>
            </w:r>
          </w:p>
        </w:tc>
        <w:tc>
          <w:tcPr>
            <w:tcW w:type="dxa" w:w="39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Tiers A and B (countries, states); Tier D users if available</w:t>
            </w:r>
          </w:p>
        </w:tc>
      </w:tr>
      <w:tr>
        <w:trPr>
          <w:cantSplit/>
        </w:trPr>
        <w:tc>
          <w:tcPr>
            <w:tcW w:type="dxa" w:w="6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7"/>
                <w:szCs w:val="17"/>
              </w:rPr>
              <w:t xml:space="preserve">A4</w:t>
            </w:r>
          </w:p>
        </w:tc>
        <w:tc>
          <w:tcPr>
            <w:tcW w:type="dxa" w:w="2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Kaplan–Meier and Cox proportional hazards</w:t>
            </w:r>
          </w:p>
        </w:tc>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Secondary: survival</w:t>
            </w:r>
          </w:p>
        </w:tc>
        <w:tc>
          <w:tcPr>
            <w:tcW w:type="dxa" w:w="39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Tier D only</w:t>
            </w:r>
          </w:p>
        </w:tc>
      </w:tr>
      <w:tr>
        <w:trPr>
          <w:cantSplit/>
        </w:trPr>
        <w:tc>
          <w:tcPr>
            <w:tcW w:type="dxa" w:w="6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7"/>
                <w:szCs w:val="17"/>
              </w:rPr>
              <w:t xml:space="preserve">A5</w:t>
            </w:r>
          </w:p>
        </w:tc>
        <w:tc>
          <w:tcPr>
            <w:tcW w:type="dxa" w:w="2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ETS and SARIMA with boosted challenger</w:t>
            </w:r>
          </w:p>
        </w:tc>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Secondary: forecasting</w:t>
            </w:r>
          </w:p>
        </w:tc>
        <w:tc>
          <w:tcPr>
            <w:tcW w:type="dxa" w:w="39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7"/>
                <w:szCs w:val="17"/>
              </w:rPr>
              <w:t xml:space="preserve">Tier C; Tier B monthly if available</w:t>
            </w:r>
          </w:p>
        </w:tc>
      </w:tr>
      <w:tr>
        <w:trPr>
          <w:cantSplit/>
        </w:trPr>
        <w:tc>
          <w:tcPr>
            <w:tcW w:type="dxa" w:w="6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7"/>
                <w:szCs w:val="17"/>
              </w:rPr>
              <w:t xml:space="preserve">A6, A7</w:t>
            </w:r>
          </w:p>
        </w:tc>
        <w:tc>
          <w:tcPr>
            <w:tcW w:type="dxa" w:w="2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7"/>
                <w:szCs w:val="17"/>
              </w:rPr>
              <w:t xml:space="preserve">Text mining; isolation forest</w:t>
            </w:r>
          </w:p>
        </w:tc>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7"/>
                <w:szCs w:val="17"/>
              </w:rPr>
              <w:t xml:space="preserve">Extension, not scheduled</w:t>
            </w:r>
          </w:p>
        </w:tc>
        <w:tc>
          <w:tcPr>
            <w:tcW w:type="dxa" w:w="39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7"/>
                <w:szCs w:val="17"/>
              </w:rPr>
              <w:t xml:space="preserve">Tier D</w:t>
            </w:r>
          </w:p>
        </w:tc>
      </w:tr>
    </w:tbl>
    <w:p>
      <w:pPr>
        <w:spacing w:after="160"/>
      </w:pPr>
    </w:p>
    <w:p>
      <w:pPr>
        <w:pStyle w:val="Heading2"/>
      </w:pPr>
      <w:r>
        <w:rPr>
          <w:rFonts w:ascii="Arial" w:cs="Arial" w:eastAsia="Arial" w:hAnsi="Arial"/>
        </w:rPr>
        <w:t xml:space="preserve">5.4 Rationale and preparation for each algorithm</w:t>
      </w:r>
    </w:p>
    <w:p>
      <w:pPr>
        <w:pStyle w:val="Heading3"/>
      </w:pPr>
      <w:r>
        <w:rPr>
          <w:rFonts w:ascii="Arial" w:cs="Arial" w:eastAsia="Arial" w:hAnsi="Arial"/>
        </w:rPr>
        <w:t xml:space="preserve">A1. Regularised and panel regression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Purpose</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Explain and predict continuous outcomes: OSI per country-edition and log e-Taal transactions per 1,000 population per state-year. Identify which infrastructure, human-capital and governance factors carry independent signal.</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Why chosen</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Panels are small and predictors are strongly correlated (internet users, mobile and broadband subscriptions, income). Elastic net combines the lasso's selection with ridge's stability under collinearity. A fixed-effects model removes stable country traits and asks what changes within a country over time. The two answer different questions and are reported together.</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Preparation</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Log-transform skewed variables (GDP per capita, subscriptions, transaction counts). Normalise per capita. Impute inside folds with median plus a missing flag. Robust scaling. One-hot encode region and income group. Screen variance inflation factors (review any above 10). Include edition indicators in the fixed-effects model. These follow Steps 4 to 7 of the Data Preparation Guide.</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Settings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Elastic net alpha on a log grid from 0.0001 to 1; l1 ratio of 0.1, 0.5, 0.9 and 1.0; inner five-fold CV grouped by country. Stability selection over 200 bootstrap resamples, keeping variables chosen in at least 70 percent. Fixed-effects standard errors clustered by country.</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Expected outcomes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A sparse, ranked set of drivers; out-of-time error (MAE, R-squared) on the 2022 and 2024 editions; a list of high-residual countries and states that over- or under-perform relative to their infrastructure.</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Watch-outs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Association is not causation. P-values after variable selection are not valid, so report coefficient stability instead. Index definitions change between editions. Never use EGDI components to predict EGDI.</w:t>
            </w:r>
          </w:p>
        </w:tc>
      </w:tr>
    </w:tbl>
    <w:p>
      <w:pPr>
        <w:spacing w:after="160"/>
      </w:pPr>
    </w:p>
    <w:p>
      <w:pPr>
        <w:pStyle w:val="Heading3"/>
      </w:pPr>
      <w:r>
        <w:rPr>
          <w:rFonts w:ascii="Arial" w:cs="Arial" w:eastAsia="Arial" w:hAnsi="Arial"/>
        </w:rPr>
        <w:t xml:space="preserve">A2. Classification: logistic regression and gradient-boosted trees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Purpose</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Predict categorical outcomes. Public track: whether a country moves up an EGDI level group by the next edition. Record-level track: whether a grievance will exceed its resolution threshold, so that queues can be triaged by a human.</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Why chosen</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Logistic regression is a transparent baseline that sets the bar. Gradient boosting captures non-linear effects and interactions among channel, department, district tier and season without hand-built terms, and is strong on mixed tabular data. Random forest is a low-tuning cross-check. The simpler model is preferred unless the boosted model wins by more than one standard error across outer folds.</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Preparation</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Use only features from the preceding period. One-hot encode low-cardinality variables and frequency-encode high-cardinality ones such as office or district. Standardise for logistic regression; trees need no scaling. Handle imbalance with class weights, not by resampling before the split. Fit every transformer on training folds only.</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Settings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LightGBM or XGBoost; learning rate 0.03 to 0.1; depth 3 to 6; minimum child samples of at least 20; subsample and column sample 0.7 to 0.9; L2 penalty; early stopping on a validation fold; 50 random or Bayesian search trials. Check calibration (isotonic or Platt) with reliability curves. Choose the decision threshold on validation using the stated cost of a missed breach against a false alarm.</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Expected outcomes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PR-AUC and macro-F1 above the baseline; SHAP-ranked feature importance; a calibrated risk score; a table of performance by segment.</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Watch-outs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Upgrades are rare in the public track, so use confidence intervals and shallow models. Labels can encode past bias. Scores support human triage and never decide denial of service (risk R9).</w:t>
            </w:r>
          </w:p>
        </w:tc>
      </w:tr>
    </w:tbl>
    <w:p>
      <w:pPr>
        <w:spacing w:after="160"/>
      </w:pPr>
    </w:p>
    <w:p>
      <w:pPr>
        <w:pStyle w:val="Heading3"/>
      </w:pPr>
      <w:r>
        <w:rPr>
          <w:rFonts w:ascii="Arial" w:cs="Arial" w:eastAsia="Arial" w:hAnsi="Arial"/>
        </w:rPr>
        <w:t xml:space="preserve">A3. Clustering: k-means with Ward cross-check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Purpose</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Build a typology of states and countries by digital readiness and service performance. With record-level data, segment service users by channel and usage pattern.</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Why chosen</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There is no labelled type to predict. k-means gives compact, communicable groups on standardised numeric indicators. Ward clustering exposes nesting and acts as an independent check. HDBSCAN is used only if the data show irregular shapes or noise points. Agreement between two methods is stronger evidence than either alone.</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Preparation</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Select indicators from different dimensions (access, usage, service maturity, human capital, outcomes). Winsorise at the 1st and 99th percentiles, log-transform skewed variables, then standardise so no variable dominates distance. Drop one of any pair with correlation above 0.9, or use PCA retaining 85 to 90 percent of variance. Cluster the latest complete year or a multi-year average. Exclude identifiers.</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Settings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k from 2 to 8; k-means++ with 50 initialisations. Choose k with silhouette, Davies–Bouldin and gap statistic. Stability over 200 bootstrap resamples using the adjusted Rand index (target 0.75 or above). Minimum cluster size about 5 percent of units. Review profiles with a domain reader.</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Expected outcomes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Three to five named segments with centroid profiles, for example: high infrastructure with mature services; infrastructure-rich but service-lagging; improving; constrained. A peer set for India for benchmarking.</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Watch-outs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Clusters are descriptive, not natural kinds. Name them after profiling, not before. Small clusters are unstable. Do not cluster on an outcome and then use the clusters to explain that outcome.</w:t>
            </w:r>
          </w:p>
        </w:tc>
      </w:tr>
    </w:tbl>
    <w:p>
      <w:pPr>
        <w:spacing w:after="160"/>
      </w:pPr>
    </w:p>
    <w:p>
      <w:pPr>
        <w:pStyle w:val="Heading3"/>
      </w:pPr>
      <w:r>
        <w:rPr>
          <w:rFonts w:ascii="Arial" w:cs="Arial" w:eastAsia="Arial" w:hAnsi="Arial"/>
        </w:rPr>
        <w:t xml:space="preserve">A4. Survival analysis: Kaplan–Meier and Cox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Purpose</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Model time from submission to resolution for grievances or applications, treating open cases as censored. Compare departments, categories and district groups and locate bottlenecks.</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Why chosen</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An average resolution time computed on closed cases alone is biased downward because the slowest cases are still open. Survival methods use every case. Kaplan–Meier gives non-parametric curves and median times. The Cox model estimates how covariates speed up or slow down resolution without assuming a baseline shape.</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Preparation</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Duration is resolution date (or extraction date) minus submission date; event flag is 1 if resolved. Apply the date logic from Step 3 of the Preparation Guide and send negative durations to the exceptions table. Pseudonymise identifiers. Dummy-encode categories with a fixed reference level and merge categories with fewer than 30 cases into Other. Standardise continuous covariates.</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Settings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Log-rank tests across groups with Holm correction. Cox model with a light L2 penalty (0.01 to 0.1). Test proportional hazards with scaled Schoenfeld residuals; if violated, stratify or switch to an accelerated failure time model (Weibull or log-normal). Validate by concordance index and calibration at 30, 60 and 90 days on the held-out later period.</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Expected outcomes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Median and 90th-percentile resolution time by category with intervals; hazard ratios (above 1 means faster resolution) that flag slow departments; the effect of escalation on speed.</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Watch-outs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Requires record-level timestamps. Withdrawn, transferred and reopened cases need a documented rule (competing events or censoring). Without Tier D, fall back to state-month aggregates.</w:t>
            </w:r>
          </w:p>
        </w:tc>
      </w:tr>
    </w:tbl>
    <w:p>
      <w:pPr>
        <w:spacing w:after="160"/>
      </w:pPr>
    </w:p>
    <w:p>
      <w:pPr>
        <w:pStyle w:val="Heading3"/>
      </w:pPr>
      <w:r>
        <w:rPr>
          <w:rFonts w:ascii="Arial" w:cs="Arial" w:eastAsia="Arial" w:hAnsi="Arial"/>
        </w:rPr>
        <w:t xml:space="preserve">A5. Time-series forecasting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Purpose</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Forecast monthly volumes (UPI and e-Taal transactions, grievance receipts) for capacity planning and quantify seasonality and deadline effects.</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Why chosen</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The series are short, trending and seasonal. ETS and SARIMA are strong, transparent baselines with prediction intervals. Gradient boosting with calendar and lag features is the challenger, because it can absorb known events such as fiscal year-end, filing deadlines and festival months.</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Preparation</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Log transform for multiplicative growth. Calendar features (month, quarter, fiscal year-end, holidays). Lags limited to those available at forecast time. Intervention indicators for known breaks (the 2020 pandemic period, major policy or fee changes, platform launches). Keep chronological order; never shuffle.</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Settings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Seasonal-naive and drift baselines. ETS and SARIMA selected by AICc. Boosted model with lags 1 to 12. Rolling-origin evaluation at 3, 6 and 12-month horizons; accuracy by MASE (Hyndman and Koehler, 2006) and sMAPE; check 80 and 95 percent interval coverage.</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Expected outcomes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Forecasts with intervals, a seasonal decomposition, quantified deadline uplifts, and a per-series choice between ETS/SARIMA and the boosted model by out-of-sample accuracy.</w:t>
            </w:r>
          </w:p>
        </w:tc>
      </w:tr>
      <w:tr>
        <w:trPr>
          <w:cantSplit/>
        </w:trPr>
        <w:tc>
          <w:tcPr>
            <w:tcW w:type="dxa" w:w="1750"/>
            <w:tcBorders>
              <w:top w:val="single" w:color="C9D2DA" w:sz="4"/>
              <w:left w:val="single" w:color="C9D2DA" w:sz="4"/>
              <w:bottom w:val="single" w:color="C9D2DA" w:sz="4"/>
              <w:right w:val="single" w:color="C9D2DA" w:sz="4"/>
            </w:tcBorders>
            <w:shd w:fill="E8F0F4" w:color="auto" w:val="clear"/>
            <w:tcMar>
              <w:top w:type="dxa" w:w="60"/>
              <w:left w:type="dxa" w:w="100"/>
              <w:bottom w:type="dxa" w:w="60"/>
              <w:right w:type="dxa" w:w="100"/>
            </w:tcMar>
            <w:vAlign w:val="top"/>
          </w:tcPr>
          <w:p>
            <w:pPr>
              <w:spacing w:after="40" w:line="252"/>
            </w:pPr>
            <w:r>
              <w:rPr>
                <w:rFonts w:ascii="Arial" w:cs="Arial" w:eastAsia="Arial" w:hAnsi="Arial"/>
                <w:b/>
                <w:bCs/>
                <w:color w:val="1F3A5F"/>
                <w:sz w:val="17"/>
                <w:szCs w:val="17"/>
              </w:rPr>
              <w:t xml:space="preserve">Watch-outs</w:t>
            </w:r>
          </w:p>
        </w:tc>
        <w:tc>
          <w:tcPr>
            <w:tcW w:type="dxa" w:w="72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spacing w:after="40" w:line="252"/>
            </w:pPr>
            <w:r>
              <w:rPr>
                <w:rFonts w:ascii="Arial" w:cs="Arial" w:eastAsia="Arial" w:hAnsi="Arial"/>
                <w:sz w:val="17"/>
                <w:szCs w:val="17"/>
              </w:rPr>
              <w:t xml:space="preserve">Structural breaks and revisions to published statistics. Do not extrapolate beyond 12 months. Fee or policy changes are confounders, not noise.</w:t>
            </w:r>
          </w:p>
        </w:tc>
      </w:tr>
    </w:tbl>
    <w:p>
      <w:pPr>
        <w:spacing w:after="160"/>
      </w:pPr>
    </w:p>
    <w:p>
      <w:pPr>
        <w:pStyle w:val="Heading2"/>
      </w:pPr>
      <w:r>
        <w:rPr>
          <w:rFonts w:ascii="Arial" w:cs="Arial" w:eastAsia="Arial" w:hAnsi="Arial"/>
        </w:rPr>
        <w:t xml:space="preserve">5.5 Extension modules and methods not selected</w:t>
      </w:r>
    </w:p>
    <w:p>
      <w:pPr>
        <w:spacing w:after="120" w:line="288"/>
      </w:pPr>
      <w:r>
        <w:rPr>
          <w:rFonts w:ascii="Arial" w:cs="Arial" w:eastAsia="Arial" w:hAnsi="Arial"/>
          <w:b/>
          <w:bCs/>
          <w:sz w:val="21"/>
          <w:szCs w:val="21"/>
        </w:rPr>
        <w:t xml:space="preserve">Extensions (A6, A7), unscheduled.</w:t>
      </w:r>
      <w:r>
        <w:rPr>
          <w:rFonts w:ascii="Arial" w:cs="Arial" w:eastAsia="Arial" w:hAnsi="Arial"/>
          <w:sz w:val="21"/>
          <w:szCs w:val="21"/>
        </w:rPr>
        <w:t xml:space="preserve"> If a record-level extract with text is approved and time remains, a TF-IDF plus logistic regression baseline would classify grievance categories, and BERTopic with multilingual embeddings (for example MuRIL or XLM-R) would surface themes in Hindi, Marathi and English. An isolation forest with robust z-scores would flag unusual delays or spikes for audit sampling. Both follow the same split and validation rules as Section 6.</w:t>
      </w:r>
    </w:p>
    <w:p>
      <w:pPr>
        <w:spacing w:after="120" w:line="288"/>
      </w:pPr>
      <w:r>
        <w:rPr>
          <w:rFonts w:ascii="Arial" w:cs="Arial" w:eastAsia="Arial" w:hAnsi="Arial"/>
          <w:b/>
          <w:bCs/>
          <w:sz w:val="21"/>
          <w:szCs w:val="21"/>
        </w:rPr>
        <w:t xml:space="preserve">Why not deep learning as a core method.</w:t>
      </w:r>
      <w:r>
        <w:rPr>
          <w:rFonts w:ascii="Arial" w:cs="Arial" w:eastAsia="Arial" w:hAnsi="Arial"/>
          <w:sz w:val="21"/>
          <w:szCs w:val="21"/>
        </w:rPr>
        <w:t xml:space="preserve"> Sample sizes in Tiers A to C are too small for neural networks to show an advantage, and their explanations are weaker for officials who must defend findings. The position changes if large volumes of Indian-language grievance text become available; fine-tuning a multilingual transformer would then be justified for classification, still subject to the fairness and human-review rules.</w:t>
      </w:r>
    </w:p>
    <w:p>
      <w:pPr>
        <w:pStyle w:val="Heading1"/>
      </w:pPr>
      <w:r>
        <w:rPr>
          <w:rFonts w:ascii="Arial" w:cs="Arial" w:eastAsia="Arial" w:hAnsi="Arial"/>
        </w:rPr>
        <w:t xml:space="preserve">6. Process Workflow</w:t>
      </w:r>
    </w:p>
    <w:p>
      <w:pPr>
        <w:pStyle w:val="Heading2"/>
      </w:pPr>
      <w:r>
        <w:rPr>
          <w:rFonts w:ascii="Arial" w:cs="Arial" w:eastAsia="Arial" w:hAnsi="Arial"/>
        </w:rPr>
        <w:t xml:space="preserve">6.1 Overview</w:t>
      </w:r>
    </w:p>
    <w:p>
      <w:pPr>
        <w:keepNext/>
        <w:spacing w:after="120" w:line="288"/>
      </w:pPr>
      <w:r>
        <w:rPr>
          <w:rFonts w:ascii="Arial" w:cs="Arial" w:eastAsia="Arial" w:hAnsi="Arial"/>
          <w:sz w:val="21"/>
          <w:szCs w:val="21"/>
        </w:rPr>
        <w:t xml:space="preserve">Every algorithm follows the same eight stages. The common spine keeps the work reproducible and makes it easy to review, and the quality gates stop weak results from moving forward.</w:t>
      </w:r>
    </w:p>
    <w:p>
      <w:pPr>
        <w:keepNext/>
        <w:spacing w:after="0" w:before="120"/>
        <w:jc w:val="center"/>
      </w:pPr>
      <w:r>
        <w:drawing>
          <wp:inline distT="0" distB="0" distL="0" distR="0">
            <wp:extent cx="5715000" cy="30194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19425"/>
                    </a:xfrm>
                    <a:prstGeom prst="rect">
                      <a:avLst/>
                    </a:prstGeom>
                  </pic:spPr>
                </pic:pic>
              </a:graphicData>
            </a:graphic>
          </wp:inline>
        </w:drawing>
      </w:r>
    </w:p>
    <w:p>
      <w:pPr>
        <w:spacing w:after="200" w:before="60"/>
        <w:jc w:val="center"/>
      </w:pPr>
      <w:r>
        <w:rPr>
          <w:rFonts w:ascii="Arial" w:cs="Arial" w:eastAsia="Arial" w:hAnsi="Arial"/>
          <w:i/>
          <w:iCs/>
          <w:color w:val="5B6770"/>
          <w:sz w:val="18"/>
          <w:szCs w:val="18"/>
        </w:rPr>
        <w:t xml:space="preserve">Figure 1. Eight-stage analysis workflow with a feedback loop to preprocessing and 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3400"/>
        <w:gridCol w:w="2476"/>
        <w:gridCol w:w="1900"/>
      </w:tblGrid>
      <w:tr>
        <w:trPr>
          <w:cantSplit/>
          <w:tblHeader/>
        </w:trPr>
        <w:tc>
          <w:tcPr>
            <w:tcW w:type="dxa" w:w="125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Stage</w:t>
            </w:r>
          </w:p>
        </w:tc>
        <w:tc>
          <w:tcPr>
            <w:tcW w:type="dxa" w:w="34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Key activities</w:t>
            </w:r>
          </w:p>
        </w:tc>
        <w:tc>
          <w:tcPr>
            <w:tcW w:type="dxa" w:w="247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Quality gate</w:t>
            </w:r>
          </w:p>
        </w:tc>
        <w:tc>
          <w:tcPr>
            <w:tcW w:type="dxa" w:w="19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Output</w:t>
            </w:r>
          </w:p>
        </w:tc>
      </w:tr>
      <w:tr>
        <w:trPr>
          <w:cantSplit/>
        </w:trPr>
        <w:tc>
          <w:tcPr>
            <w:tcW w:type="dxa" w:w="12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S1 Freeze analytical dataset</w:t>
            </w:r>
          </w:p>
        </w:tc>
        <w:tc>
          <w:tcPr>
            <w:tcW w:type="dxa" w:w="3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Build the analytical table from the processed panel (Acquisition Plan T6, T7). Confirm the grain (country-edition, state-year, month, case). Lock targets and feature lists. Write the data dictionary and hash the snapshot.</w:t>
            </w:r>
          </w:p>
        </w:tc>
        <w:tc>
          <w:tcPr>
            <w:tcW w:type="dxa" w:w="24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Schema validated; leakage audit passed; missingness within agreed thresholds</w:t>
            </w:r>
          </w:p>
        </w:tc>
        <w:tc>
          <w:tcPr>
            <w:tcW w:type="dxa" w:w="19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Versioned dataset and dictionary</w:t>
            </w:r>
          </w:p>
        </w:tc>
      </w:tr>
      <w:tr>
        <w:trPr>
          <w:cantSplit/>
        </w:trPr>
        <w:tc>
          <w:tcPr>
            <w:tcW w:type="dxa" w:w="12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S2 Segment and split</w:t>
            </w:r>
          </w:p>
        </w:tc>
        <w:tc>
          <w:tcPr>
            <w:tcW w:type="dxa" w:w="3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Apply the split scheme for each tier (Section 6.2). Create inner folds. Seal the test set.</w:t>
            </w:r>
          </w:p>
        </w:tc>
        <w:tc>
          <w:tcPr>
            <w:tcW w:type="dxa" w:w="247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No entity on both sides where generalisation is the question; class balance reported per split</w:t>
            </w:r>
          </w:p>
        </w:tc>
        <w:tc>
          <w:tcPr>
            <w:tcW w:type="dxa" w:w="19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Split manifest</w:t>
            </w:r>
          </w:p>
        </w:tc>
      </w:tr>
      <w:tr>
        <w:trPr>
          <w:cantSplit/>
        </w:trPr>
        <w:tc>
          <w:tcPr>
            <w:tcW w:type="dxa" w:w="12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S3 Pre-process in-fold</w:t>
            </w:r>
          </w:p>
        </w:tc>
        <w:tc>
          <w:tcPr>
            <w:tcW w:type="dxa" w:w="3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Pipeline of impute, winsorise or transform, scale, encode, all fitted inside training folds only.</w:t>
            </w:r>
          </w:p>
        </w:tc>
        <w:tc>
          <w:tcPr>
            <w:tcW w:type="dxa" w:w="24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Test confirming fitted statistics come from training rows only</w:t>
            </w:r>
          </w:p>
        </w:tc>
        <w:tc>
          <w:tcPr>
            <w:tcW w:type="dxa" w:w="19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Serialised pipeline</w:t>
            </w:r>
          </w:p>
        </w:tc>
      </w:tr>
      <w:tr>
        <w:trPr>
          <w:cantSplit/>
        </w:trPr>
        <w:tc>
          <w:tcPr>
            <w:tcW w:type="dxa" w:w="12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S4 Baselines</w:t>
            </w:r>
          </w:p>
        </w:tc>
        <w:tc>
          <w:tcPr>
            <w:tcW w:type="dxa" w:w="3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Mean or median, last value, seasonal naive, OLS, logistic regression.</w:t>
            </w:r>
          </w:p>
        </w:tc>
        <w:tc>
          <w:tcPr>
            <w:tcW w:type="dxa" w:w="247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Baseline metrics recorded before any tuning</w:t>
            </w:r>
          </w:p>
        </w:tc>
        <w:tc>
          <w:tcPr>
            <w:tcW w:type="dxa" w:w="19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Baseline table</w:t>
            </w:r>
          </w:p>
        </w:tc>
      </w:tr>
      <w:tr>
        <w:trPr>
          <w:cantSplit/>
        </w:trPr>
        <w:tc>
          <w:tcPr>
            <w:tcW w:type="dxa" w:w="12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S5 Train and tune</w:t>
            </w:r>
          </w:p>
        </w:tc>
        <w:tc>
          <w:tcPr>
            <w:tcW w:type="dxa" w:w="3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Nested validation; random or Bayesian search with a fixed trial budget; early stopping; fixed random seeds; run log.</w:t>
            </w:r>
          </w:p>
        </w:tc>
        <w:tc>
          <w:tcPr>
            <w:tcW w:type="dxa" w:w="24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Tuning never touches the outer validation or test data</w:t>
            </w:r>
          </w:p>
        </w:tc>
        <w:tc>
          <w:tcPr>
            <w:tcW w:type="dxa" w:w="19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Tuned models and run log</w:t>
            </w:r>
          </w:p>
        </w:tc>
      </w:tr>
      <w:tr>
        <w:trPr>
          <w:cantSplit/>
        </w:trPr>
        <w:tc>
          <w:tcPr>
            <w:tcW w:type="dxa" w:w="12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S6 Validate and test</w:t>
            </w:r>
          </w:p>
        </w:tc>
        <w:tc>
          <w:tcPr>
            <w:tcW w:type="dxa" w:w="3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Validation metrics with bootstrap intervals; model comparison; open the sealed test set once.</w:t>
            </w:r>
          </w:p>
        </w:tc>
        <w:tc>
          <w:tcPr>
            <w:tcW w:type="dxa" w:w="247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Beats baseline by the agreed margin; calibration acceptable</w:t>
            </w:r>
          </w:p>
        </w:tc>
        <w:tc>
          <w:tcPr>
            <w:tcW w:type="dxa" w:w="19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Results table</w:t>
            </w:r>
          </w:p>
        </w:tc>
      </w:tr>
      <w:tr>
        <w:trPr>
          <w:cantSplit/>
        </w:trPr>
        <w:tc>
          <w:tcPr>
            <w:tcW w:type="dxa" w:w="12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S7 Diagnose and stress-test</w:t>
            </w:r>
          </w:p>
        </w:tc>
        <w:tc>
          <w:tcPr>
            <w:tcW w:type="dxa" w:w="3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Residual and calibration plots, VIF, proportional-hazards tests, cluster stability, sensitivity analyses, performance by segment.</w:t>
            </w:r>
          </w:p>
        </w:tc>
        <w:tc>
          <w:tcPr>
            <w:tcW w:type="dxa" w:w="24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Segment gaps within tolerance or documented with cause</w:t>
            </w:r>
          </w:p>
        </w:tc>
        <w:tc>
          <w:tcPr>
            <w:tcW w:type="dxa" w:w="19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Robustness appendix</w:t>
            </w:r>
          </w:p>
        </w:tc>
      </w:tr>
      <w:tr>
        <w:trPr>
          <w:cantSplit/>
        </w:trPr>
        <w:tc>
          <w:tcPr>
            <w:tcW w:type="dxa" w:w="12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S8 Interpret and report</w:t>
            </w:r>
          </w:p>
        </w:tc>
        <w:tc>
          <w:tcPr>
            <w:tcW w:type="dxa" w:w="3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Coefficients, SHAP, profiles, hazard ratios, forecasts; link to actions and KPIs; model cards; peer review.</w:t>
            </w:r>
          </w:p>
        </w:tc>
        <w:tc>
          <w:tcPr>
            <w:tcW w:type="dxa" w:w="247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Each claim traceable to a table or figure; limitations stated</w:t>
            </w:r>
          </w:p>
        </w:tc>
        <w:tc>
          <w:tcPr>
            <w:tcW w:type="dxa" w:w="19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Findings and recommendations</w:t>
            </w:r>
          </w:p>
        </w:tc>
      </w:tr>
    </w:tbl>
    <w:p>
      <w:pPr>
        <w:spacing w:after="160"/>
      </w:pPr>
    </w:p>
    <w:p>
      <w:pPr>
        <w:pStyle w:val="Heading2"/>
      </w:pPr>
      <w:r>
        <w:rPr>
          <w:rFonts w:ascii="Arial" w:cs="Arial" w:eastAsia="Arial" w:hAnsi="Arial"/>
        </w:rPr>
        <w:t xml:space="preserve">6.2 Data segmentation and splitting</w:t>
      </w:r>
    </w:p>
    <w:p>
      <w:pPr>
        <w:keepNext/>
        <w:spacing w:after="120" w:line="288"/>
      </w:pPr>
      <w:r>
        <w:rPr>
          <w:rFonts w:ascii="Arial" w:cs="Arial" w:eastAsia="Arial" w:hAnsi="Arial"/>
          <w:sz w:val="21"/>
          <w:szCs w:val="21"/>
        </w:rPr>
        <w:t xml:space="preserve">Segmentation has two meanings in this project, and both are needed. </w:t>
      </w:r>
      <w:r>
        <w:rPr>
          <w:rFonts w:ascii="Arial" w:cs="Arial" w:eastAsia="Arial" w:hAnsi="Arial"/>
          <w:b/>
          <w:bCs/>
          <w:sz w:val="21"/>
          <w:szCs w:val="21"/>
        </w:rPr>
        <w:t xml:space="preserve">Partitioning</w:t>
      </w:r>
      <w:r>
        <w:rPr>
          <w:rFonts w:ascii="Arial" w:cs="Arial" w:eastAsia="Arial" w:hAnsi="Arial"/>
          <w:sz w:val="21"/>
          <w:szCs w:val="21"/>
        </w:rPr>
        <w:t xml:space="preserve"> divides data into training, validation and test sets. </w:t>
      </w:r>
      <w:r>
        <w:rPr>
          <w:rFonts w:ascii="Arial" w:cs="Arial" w:eastAsia="Arial" w:hAnsi="Arial"/>
          <w:b/>
          <w:bCs/>
          <w:sz w:val="21"/>
          <w:szCs w:val="21"/>
        </w:rPr>
        <w:t xml:space="preserve">Analytical segmentation</w:t>
      </w:r>
      <w:r>
        <w:rPr>
          <w:rFonts w:ascii="Arial" w:cs="Arial" w:eastAsia="Arial" w:hAnsi="Arial"/>
          <w:sz w:val="21"/>
          <w:szCs w:val="21"/>
        </w:rPr>
        <w:t xml:space="preserve"> divides it into groups (region, income band, state tier, language, channel) so that results can be disaggregated. The split design depends on what the model is meant to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3700"/>
        <w:gridCol w:w="2376"/>
      </w:tblGrid>
      <w:tr>
        <w:trPr>
          <w:cantSplit/>
          <w:tblHeader/>
        </w:trPr>
        <w:tc>
          <w:tcPr>
            <w:tcW w:type="dxa" w:w="17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Tier</w:t>
            </w:r>
          </w:p>
        </w:tc>
        <w:tc>
          <w:tcPr>
            <w:tcW w:type="dxa" w:w="125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Unit</w:t>
            </w:r>
          </w:p>
        </w:tc>
        <w:tc>
          <w:tcPr>
            <w:tcW w:type="dxa" w:w="37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Split scheme</w:t>
            </w:r>
          </w:p>
        </w:tc>
        <w:tc>
          <w:tcPr>
            <w:tcW w:type="dxa" w:w="237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Reason</w:t>
            </w:r>
          </w:p>
        </w:tc>
      </w:tr>
      <w:tr>
        <w:trPr>
          <w:cantSplit/>
        </w:trPr>
        <w:tc>
          <w:tcPr>
            <w:tcW w:type="dxa" w:w="1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A. Cross-country panel</w:t>
            </w:r>
          </w:p>
        </w:tc>
        <w:tc>
          <w:tcPr>
            <w:tcW w:type="dxa" w:w="12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Country-edition</w:t>
            </w:r>
          </w:p>
        </w:tc>
        <w:tc>
          <w:tcPr>
            <w:tcW w:type="dxa" w:w="3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Out-of-time: train 2010 to 2020, validate 2022, test 2024. Out-of-country: grouped k-fold by country, plus a leave-one-region-out stress test.</w:t>
            </w:r>
          </w:p>
        </w:tc>
        <w:tc>
          <w:tcPr>
            <w:tcW w:type="dxa" w:w="23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Tests prediction of future editions and generalisation to unseen countries separately</w:t>
            </w:r>
          </w:p>
        </w:tc>
      </w:tr>
      <w:tr>
        <w:trPr>
          <w:cantSplit/>
        </w:trPr>
        <w:tc>
          <w:tcPr>
            <w:tcW w:type="dxa" w:w="1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B. India state panel</w:t>
            </w:r>
          </w:p>
        </w:tc>
        <w:tc>
          <w:tcPr>
            <w:tcW w:type="dxa" w:w="12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State-year</w:t>
            </w:r>
          </w:p>
        </w:tc>
        <w:tc>
          <w:tcPr>
            <w:tcW w:type="dxa" w:w="3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Forward chaining by year (train to year t, test t+1). Grouped k-fold by state for generalisation.</w:t>
            </w:r>
          </w:p>
        </w:tc>
        <w:tc>
          <w:tcPr>
            <w:tcW w:type="dxa" w:w="237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Avoids using future years and avoids a state in both sets</w:t>
            </w:r>
          </w:p>
        </w:tc>
      </w:tr>
      <w:tr>
        <w:trPr>
          <w:cantSplit/>
        </w:trPr>
        <w:tc>
          <w:tcPr>
            <w:tcW w:type="dxa" w:w="1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C. Monthly series</w:t>
            </w:r>
          </w:p>
        </w:tc>
        <w:tc>
          <w:tcPr>
            <w:tcW w:type="dxa" w:w="12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Month</w:t>
            </w:r>
          </w:p>
        </w:tc>
        <w:tc>
          <w:tcPr>
            <w:tcW w:type="dxa" w:w="3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Rolling origin with an expanding window; at least 48 months before first forecast; horizons 3, 6, 12.</w:t>
            </w:r>
          </w:p>
        </w:tc>
        <w:tc>
          <w:tcPr>
            <w:tcW w:type="dxa" w:w="23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Mimics real forecasting; no shuffling</w:t>
            </w:r>
          </w:p>
        </w:tc>
      </w:tr>
      <w:tr>
        <w:trPr>
          <w:cantSplit/>
        </w:trPr>
        <w:tc>
          <w:tcPr>
            <w:tcW w:type="dxa" w:w="1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D. Records</w:t>
            </w:r>
          </w:p>
        </w:tc>
        <w:tc>
          <w:tcPr>
            <w:tcW w:type="dxa" w:w="12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Case</w:t>
            </w:r>
          </w:p>
        </w:tc>
        <w:tc>
          <w:tcPr>
            <w:tcW w:type="dxa" w:w="3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70/15/15 by submission date (earliest to latest); within time blocks, stratify by outcome; group by pseudonymised complainant.</w:t>
            </w:r>
          </w:p>
        </w:tc>
        <w:tc>
          <w:tcPr>
            <w:tcW w:type="dxa" w:w="237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Consistent with Step 9 of the Preparation Guide; one person's cases never straddle a split</w:t>
            </w:r>
          </w:p>
        </w:tc>
      </w:tr>
      <w:tr>
        <w:trPr>
          <w:cantSplit/>
        </w:trPr>
        <w:tc>
          <w:tcPr>
            <w:tcW w:type="dxa" w:w="1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Clustering (A3)</w:t>
            </w:r>
          </w:p>
        </w:tc>
        <w:tc>
          <w:tcPr>
            <w:tcW w:type="dxa" w:w="12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Country or state</w:t>
            </w:r>
          </w:p>
        </w:tc>
        <w:tc>
          <w:tcPr>
            <w:tcW w:type="dxa" w:w="3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No train-test split. Stability by bootstrap; later-year units assigned to fitted centroids as a hold-out check.</w:t>
            </w:r>
          </w:p>
        </w:tc>
        <w:tc>
          <w:tcPr>
            <w:tcW w:type="dxa" w:w="23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Unsupervised: validity rests on stability and meaning</w:t>
            </w:r>
          </w:p>
        </w:tc>
      </w:tr>
    </w:tbl>
    <w:p>
      <w:pPr>
        <w:spacing w:after="160"/>
      </w:pPr>
    </w:p>
    <w:p>
      <w:pPr>
        <w:keepNext/>
        <w:spacing w:after="0" w:before="120"/>
        <w:jc w:val="center"/>
      </w:pPr>
      <w:r>
        <w:drawing>
          <wp:inline distT="0" distB="0" distL="0" distR="0">
            <wp:extent cx="5334000" cy="16287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28775"/>
                    </a:xfrm>
                    <a:prstGeom prst="rect">
                      <a:avLst/>
                    </a:prstGeom>
                  </pic:spPr>
                </pic:pic>
              </a:graphicData>
            </a:graphic>
          </wp:inline>
        </w:drawing>
      </w:r>
    </w:p>
    <w:p>
      <w:pPr>
        <w:spacing w:after="200" w:before="60"/>
        <w:jc w:val="center"/>
      </w:pPr>
      <w:r>
        <w:rPr>
          <w:rFonts w:ascii="Arial" w:cs="Arial" w:eastAsia="Arial" w:hAnsi="Arial"/>
          <w:i/>
          <w:iCs/>
          <w:color w:val="5B6770"/>
          <w:sz w:val="18"/>
          <w:szCs w:val="18"/>
        </w:rPr>
        <w:t xml:space="preserve">Figure 2. Out-of-time split for the UN E-Government Survey panel (Tier A)</w:t>
      </w:r>
    </w:p>
    <w:p>
      <w:pPr>
        <w:spacing w:after="120" w:line="288"/>
      </w:pPr>
      <w:r>
        <w:rPr>
          <w:rFonts w:ascii="Arial" w:cs="Arial" w:eastAsia="Arial" w:hAnsi="Arial"/>
          <w:b/>
          <w:bCs/>
          <w:sz w:val="21"/>
          <w:szCs w:val="21"/>
        </w:rPr>
        <w:t xml:space="preserve">Analytical segments for disaggregated evaluation:</w:t>
      </w:r>
      <w:r>
        <w:rPr>
          <w:rFonts w:ascii="Arial" w:cs="Arial" w:eastAsia="Arial" w:hAnsi="Arial"/>
          <w:sz w:val="21"/>
          <w:szCs w:val="21"/>
        </w:rPr>
        <w:t xml:space="preserve"> region; income group; state tier based on a digital-readiness tercile; urban or rural district; language; device and channel; and gender and age band where lawful. Metrics are reported within each segment, and any cell with fewer than 10 units is suppressed, as the Strategic Plan requires.</w:t>
      </w:r>
    </w:p>
    <w:p>
      <w:pPr>
        <w:pStyle w:val="Heading2"/>
      </w:pPr>
      <w:r>
        <w:rPr>
          <w:rFonts w:ascii="Arial" w:cs="Arial" w:eastAsia="Arial" w:hAnsi="Arial"/>
        </w:rPr>
        <w:t xml:space="preserve">6.3 Training procedure</w:t>
      </w:r>
    </w:p>
    <w:p>
      <w:pPr>
        <w:pStyle w:val="ListParagraph"/>
        <w:numPr>
          <w:ilvl w:val="0"/>
          <w:numId w:val="4"/>
        </w:numPr>
        <w:spacing w:after="70" w:line="280"/>
      </w:pPr>
      <w:r>
        <w:rPr>
          <w:rFonts w:ascii="Arial" w:cs="Arial" w:eastAsia="Arial" w:hAnsi="Arial"/>
          <w:b/>
          <w:bCs/>
          <w:sz w:val="21"/>
          <w:szCs w:val="21"/>
        </w:rPr>
        <w:t xml:space="preserve">Fix the protocol before looking at results.</w:t>
      </w:r>
      <w:r>
        <w:rPr>
          <w:rFonts w:ascii="Arial" w:cs="Arial" w:eastAsia="Arial" w:hAnsi="Arial"/>
          <w:sz w:val="21"/>
          <w:szCs w:val="21"/>
        </w:rPr>
        <w:t xml:space="preserve"> Write the target, features, split scheme, metrics, acceptance thresholds and hypotheses in an analysis log.</w:t>
      </w:r>
    </w:p>
    <w:p>
      <w:pPr>
        <w:pStyle w:val="ListParagraph"/>
        <w:numPr>
          <w:ilvl w:val="0"/>
          <w:numId w:val="4"/>
        </w:numPr>
        <w:spacing w:after="70" w:line="280"/>
      </w:pPr>
      <w:r>
        <w:rPr>
          <w:rFonts w:ascii="Arial" w:cs="Arial" w:eastAsia="Arial" w:hAnsi="Arial"/>
          <w:b/>
          <w:bCs/>
          <w:sz w:val="21"/>
          <w:szCs w:val="21"/>
        </w:rPr>
        <w:t xml:space="preserve">Fit baselines first</w:t>
      </w:r>
      <w:r>
        <w:rPr>
          <w:rFonts w:ascii="Arial" w:cs="Arial" w:eastAsia="Arial" w:hAnsi="Arial"/>
          <w:sz w:val="21"/>
          <w:szCs w:val="21"/>
        </w:rPr>
        <w:t xml:space="preserve"> and record their metrics. A model that cannot beat a naive baseline is not used.</w:t>
      </w:r>
    </w:p>
    <w:p>
      <w:pPr>
        <w:pStyle w:val="ListParagraph"/>
        <w:numPr>
          <w:ilvl w:val="0"/>
          <w:numId w:val="4"/>
        </w:numPr>
        <w:spacing w:after="70" w:line="280"/>
      </w:pPr>
      <w:r>
        <w:rPr>
          <w:rFonts w:ascii="Arial" w:cs="Arial" w:eastAsia="Arial" w:hAnsi="Arial"/>
          <w:b/>
          <w:bCs/>
          <w:sz w:val="21"/>
          <w:szCs w:val="21"/>
        </w:rPr>
        <w:t xml:space="preserve">Run nested validation.</w:t>
      </w:r>
      <w:r>
        <w:rPr>
          <w:rFonts w:ascii="Arial" w:cs="Arial" w:eastAsia="Arial" w:hAnsi="Arial"/>
          <w:sz w:val="21"/>
          <w:szCs w:val="21"/>
        </w:rPr>
        <w:t xml:space="preserve"> An outer loop (five folds, repeated three times) estimates performance; an inner loop (three to five folds) tunes hyperparameters. The tuning budget is capped, for example 50 trials.</w:t>
      </w:r>
    </w:p>
    <w:p>
      <w:pPr>
        <w:pStyle w:val="ListParagraph"/>
        <w:numPr>
          <w:ilvl w:val="0"/>
          <w:numId w:val="4"/>
        </w:numPr>
        <w:spacing w:after="70" w:line="280"/>
      </w:pPr>
      <w:r>
        <w:rPr>
          <w:rFonts w:ascii="Arial" w:cs="Arial" w:eastAsia="Arial" w:hAnsi="Arial"/>
          <w:b/>
          <w:bCs/>
          <w:sz w:val="21"/>
          <w:szCs w:val="21"/>
        </w:rPr>
        <w:t xml:space="preserve">Keep preprocessing inside the loop.</w:t>
      </w:r>
      <w:r>
        <w:rPr>
          <w:rFonts w:ascii="Arial" w:cs="Arial" w:eastAsia="Arial" w:hAnsi="Arial"/>
          <w:sz w:val="21"/>
          <w:szCs w:val="21"/>
        </w:rPr>
        <w:t xml:space="preserve"> Imputers, scalers and encoders are fitted on training folds only, as the Preparation Guide requires. A scikit-learn Pipeline enforces this.</w:t>
      </w:r>
    </w:p>
    <w:p>
      <w:pPr>
        <w:pStyle w:val="ListParagraph"/>
        <w:numPr>
          <w:ilvl w:val="0"/>
          <w:numId w:val="4"/>
        </w:numPr>
        <w:spacing w:after="70" w:line="280"/>
      </w:pPr>
      <w:r>
        <w:rPr>
          <w:rFonts w:ascii="Arial" w:cs="Arial" w:eastAsia="Arial" w:hAnsi="Arial"/>
          <w:b/>
          <w:bCs/>
          <w:sz w:val="21"/>
          <w:szCs w:val="21"/>
        </w:rPr>
        <w:t xml:space="preserve">Handle imbalance inside folds</w:t>
      </w:r>
      <w:r>
        <w:rPr>
          <w:rFonts w:ascii="Arial" w:cs="Arial" w:eastAsia="Arial" w:hAnsi="Arial"/>
          <w:sz w:val="21"/>
          <w:szCs w:val="21"/>
        </w:rPr>
        <w:t xml:space="preserve"> with class weights or threshold tuning. Resampling methods are applied only to training folds, never before the split.</w:t>
      </w:r>
    </w:p>
    <w:p>
      <w:pPr>
        <w:pStyle w:val="ListParagraph"/>
        <w:numPr>
          <w:ilvl w:val="0"/>
          <w:numId w:val="4"/>
        </w:numPr>
        <w:spacing w:after="70" w:line="280"/>
      </w:pPr>
      <w:r>
        <w:rPr>
          <w:rFonts w:ascii="Arial" w:cs="Arial" w:eastAsia="Arial" w:hAnsi="Arial"/>
          <w:b/>
          <w:bCs/>
          <w:sz w:val="21"/>
          <w:szCs w:val="21"/>
        </w:rPr>
        <w:t xml:space="preserve">Apply a parsimony rule.</w:t>
      </w:r>
      <w:r>
        <w:rPr>
          <w:rFonts w:ascii="Arial" w:cs="Arial" w:eastAsia="Arial" w:hAnsi="Arial"/>
          <w:sz w:val="21"/>
          <w:szCs w:val="21"/>
        </w:rPr>
        <w:t xml:space="preserve"> Choose the simplest model within one standard error of the best score.</w:t>
      </w:r>
    </w:p>
    <w:p>
      <w:pPr>
        <w:pStyle w:val="ListParagraph"/>
        <w:numPr>
          <w:ilvl w:val="0"/>
          <w:numId w:val="4"/>
        </w:numPr>
        <w:spacing w:after="70" w:line="280"/>
      </w:pPr>
      <w:r>
        <w:rPr>
          <w:rFonts w:ascii="Arial" w:cs="Arial" w:eastAsia="Arial" w:hAnsi="Arial"/>
          <w:b/>
          <w:bCs/>
          <w:sz w:val="21"/>
          <w:szCs w:val="21"/>
        </w:rPr>
        <w:t xml:space="preserve">Refit on training plus validation data</w:t>
      </w:r>
      <w:r>
        <w:rPr>
          <w:rFonts w:ascii="Arial" w:cs="Arial" w:eastAsia="Arial" w:hAnsi="Arial"/>
          <w:sz w:val="21"/>
          <w:szCs w:val="21"/>
        </w:rPr>
        <w:t xml:space="preserve"> with the chosen settings, then open the sealed test set once.</w:t>
      </w:r>
    </w:p>
    <w:p>
      <w:pPr>
        <w:pStyle w:val="ListParagraph"/>
        <w:numPr>
          <w:ilvl w:val="0"/>
          <w:numId w:val="4"/>
        </w:numPr>
        <w:spacing w:after="70" w:line="280"/>
      </w:pPr>
      <w:r>
        <w:rPr>
          <w:rFonts w:ascii="Arial" w:cs="Arial" w:eastAsia="Arial" w:hAnsi="Arial"/>
          <w:b/>
          <w:bCs/>
          <w:sz w:val="21"/>
          <w:szCs w:val="21"/>
        </w:rPr>
        <w:t xml:space="preserve">Log everything.</w:t>
      </w:r>
      <w:r>
        <w:rPr>
          <w:rFonts w:ascii="Arial" w:cs="Arial" w:eastAsia="Arial" w:hAnsi="Arial"/>
          <w:sz w:val="21"/>
          <w:szCs w:val="21"/>
        </w:rPr>
        <w:t xml:space="preserve"> Random seeds (use ten seeds to check sensitivity), library versions, configuration file, snapshot hash and metrics are saved with each run so results can be reproduced.</w:t>
      </w:r>
    </w:p>
    <w:p>
      <w:pPr>
        <w:keepNext/>
        <w:spacing w:after="120" w:line="288"/>
      </w:pPr>
      <w:r>
        <w:rPr>
          <w:rFonts w:ascii="Arial" w:cs="Arial" w:eastAsia="Arial" w:hAnsi="Arial"/>
          <w:sz w:val="21"/>
          <w:szCs w:val="21"/>
        </w:rPr>
        <w:t xml:space="preserve">The skeleton below shows the leakage-safe pattern for A1. It was run on synthetic data to confirm it executes, and the column names are placeholders for the real analytical table.</w:t>
      </w:r>
    </w:p>
    <w:p>
      <w:pPr>
        <w:keepNext/>
        <w:keepLines/>
        <w:pBdr>
          <w:top w:val="single" w:color="D0D4D9" w:sz="4" w:space="4"/>
        </w:pBdr>
        <w:shd w:fill="F3F4F6" w:color="auto" w:val="clear"/>
        <w:spacing w:after="0" w:before="0" w:line="240"/>
        <w:ind w:left="120" w:right="120"/>
      </w:pPr>
      <w:r>
        <w:rPr>
          <w:rFonts w:ascii="Consolas" w:cs="Consolas" w:eastAsia="Consolas" w:hAnsi="Consolas"/>
          <w:sz w:val="16"/>
          <w:szCs w:val="16"/>
        </w:rPr>
        <w:t xml:space="preserve">import numpy as np, pandas as pd</w:t>
      </w:r>
    </w:p>
    <w:p>
      <w:pPr>
        <w:keepNext/>
        <w:keepLines/>
        <w:shd w:fill="F3F4F6" w:color="auto" w:val="clear"/>
        <w:spacing w:after="0" w:before="0" w:line="240"/>
        <w:ind w:left="120" w:right="120"/>
      </w:pPr>
      <w:r>
        <w:rPr>
          <w:rFonts w:ascii="Consolas" w:cs="Consolas" w:eastAsia="Consolas" w:hAnsi="Consolas"/>
          <w:sz w:val="16"/>
          <w:szCs w:val="16"/>
        </w:rPr>
        <w:t xml:space="preserve">from sklearn.compose import ColumnTransformer</w:t>
      </w:r>
    </w:p>
    <w:p>
      <w:pPr>
        <w:keepNext/>
        <w:keepLines/>
        <w:shd w:fill="F3F4F6" w:color="auto" w:val="clear"/>
        <w:spacing w:after="0" w:before="0" w:line="240"/>
        <w:ind w:left="120" w:right="120"/>
      </w:pPr>
      <w:r>
        <w:rPr>
          <w:rFonts w:ascii="Consolas" w:cs="Consolas" w:eastAsia="Consolas" w:hAnsi="Consolas"/>
          <w:sz w:val="16"/>
          <w:szCs w:val="16"/>
        </w:rPr>
        <w:t xml:space="preserve">from sklearn.pipeline import Pipeline</w:t>
      </w:r>
    </w:p>
    <w:p>
      <w:pPr>
        <w:keepNext/>
        <w:keepLines/>
        <w:shd w:fill="F3F4F6" w:color="auto" w:val="clear"/>
        <w:spacing w:after="0" w:before="0" w:line="240"/>
        <w:ind w:left="120" w:right="120"/>
      </w:pPr>
      <w:r>
        <w:rPr>
          <w:rFonts w:ascii="Consolas" w:cs="Consolas" w:eastAsia="Consolas" w:hAnsi="Consolas"/>
          <w:sz w:val="16"/>
          <w:szCs w:val="16"/>
        </w:rPr>
        <w:t xml:space="preserve">from sklearn.impute import SimpleImputer</w:t>
      </w:r>
    </w:p>
    <w:p>
      <w:pPr>
        <w:keepNext/>
        <w:keepLines/>
        <w:shd w:fill="F3F4F6" w:color="auto" w:val="clear"/>
        <w:spacing w:after="0" w:before="0" w:line="240"/>
        <w:ind w:left="120" w:right="120"/>
      </w:pPr>
      <w:r>
        <w:rPr>
          <w:rFonts w:ascii="Consolas" w:cs="Consolas" w:eastAsia="Consolas" w:hAnsi="Consolas"/>
          <w:sz w:val="16"/>
          <w:szCs w:val="16"/>
        </w:rPr>
        <w:t xml:space="preserve">from sklearn.preprocessing import RobustScaler, OneHotEncoder</w:t>
      </w:r>
    </w:p>
    <w:p>
      <w:pPr>
        <w:keepNext/>
        <w:keepLines/>
        <w:shd w:fill="F3F4F6" w:color="auto" w:val="clear"/>
        <w:spacing w:after="0" w:before="0" w:line="240"/>
        <w:ind w:left="120" w:right="120"/>
      </w:pPr>
      <w:r>
        <w:rPr>
          <w:rFonts w:ascii="Consolas" w:cs="Consolas" w:eastAsia="Consolas" w:hAnsi="Consolas"/>
          <w:sz w:val="16"/>
          <w:szCs w:val="16"/>
        </w:rPr>
        <w:t xml:space="preserve">from sklearn.linear_model import ElasticNet</w:t>
      </w:r>
    </w:p>
    <w:p>
      <w:pPr>
        <w:keepNext/>
        <w:keepLines/>
        <w:shd w:fill="F3F4F6" w:color="auto" w:val="clear"/>
        <w:spacing w:after="0" w:before="0" w:line="240"/>
        <w:ind w:left="120" w:right="120"/>
      </w:pPr>
      <w:r>
        <w:rPr>
          <w:rFonts w:ascii="Consolas" w:cs="Consolas" w:eastAsia="Consolas" w:hAnsi="Consolas"/>
          <w:sz w:val="16"/>
          <w:szCs w:val="16"/>
        </w:rPr>
        <w:t xml:space="preserve">from sklearn.model_selection import GroupKFold, GridSearchCV</w:t>
      </w:r>
    </w:p>
    <w:p>
      <w:pPr>
        <w:keepNext/>
        <w:keepLines/>
        <w:shd w:fill="F3F4F6" w:color="auto" w:val="clear"/>
        <w:spacing w:after="0" w:before="0" w:line="240"/>
        <w:ind w:left="120" w:right="120"/>
      </w:pPr>
      <w:r>
        <w:rPr>
          <w:rFonts w:ascii="Consolas" w:cs="Consolas" w:eastAsia="Consolas" w:hAnsi="Consolas"/>
          <w:sz w:val="16"/>
          <w:szCs w:val="16"/>
        </w:rPr>
        <w:t xml:space="preserve">from sklearn.metrics import mean_absolute_error, r2_score</w:t>
      </w:r>
    </w:p>
    <w:p>
      <w:pPr>
        <w:keepNext/>
        <w:keepLines/>
        <w:shd w:fill="F3F4F6" w:color="auto" w:val="clear"/>
        <w:spacing w:after="0" w:before="0" w:line="240"/>
        <w:ind w:left="120" w:right="120"/>
      </w:pPr>
      <w:r>
        <w:rPr>
          <w:rFonts w:ascii="Consolas" w:cs="Consolas" w:eastAsia="Consolas" w:hAnsi="Consolas"/>
          <w:sz w:val="16"/>
          <w:szCs w:val="16"/>
        </w:rPr>
        <w:t xml:space="preserve"> </w:t>
      </w:r>
    </w:p>
    <w:p>
      <w:pPr>
        <w:keepNext/>
        <w:keepLines/>
        <w:shd w:fill="F3F4F6" w:color="auto" w:val="clear"/>
        <w:spacing w:after="0" w:before="0" w:line="240"/>
        <w:ind w:left="120" w:right="120"/>
      </w:pPr>
      <w:r>
        <w:rPr>
          <w:rFonts w:ascii="Consolas" w:cs="Consolas" w:eastAsia="Consolas" w:hAnsi="Consolas"/>
          <w:sz w:val="16"/>
          <w:szCs w:val="16"/>
        </w:rPr>
        <w:t xml:space="preserve">num = ["internet_users_pct_log", "mobile_subs_log", "hci", "gdp_pc_log", "gov_effectiveness"]</w:t>
      </w:r>
    </w:p>
    <w:p>
      <w:pPr>
        <w:keepNext/>
        <w:keepLines/>
        <w:shd w:fill="F3F4F6" w:color="auto" w:val="clear"/>
        <w:spacing w:after="0" w:before="0" w:line="240"/>
        <w:ind w:left="120" w:right="120"/>
      </w:pPr>
      <w:r>
        <w:rPr>
          <w:rFonts w:ascii="Consolas" w:cs="Consolas" w:eastAsia="Consolas" w:hAnsi="Consolas"/>
          <w:sz w:val="16"/>
          <w:szCs w:val="16"/>
        </w:rPr>
        <w:t xml:space="preserve">cat = ["region"]; target = "osi"</w:t>
      </w:r>
    </w:p>
    <w:p>
      <w:pPr>
        <w:keepNext/>
        <w:keepLines/>
        <w:shd w:fill="F3F4F6" w:color="auto" w:val="clear"/>
        <w:spacing w:after="0" w:before="0" w:line="240"/>
        <w:ind w:left="120" w:right="120"/>
      </w:pPr>
      <w:r>
        <w:rPr>
          <w:rFonts w:ascii="Consolas" w:cs="Consolas" w:eastAsia="Consolas" w:hAnsi="Consolas"/>
          <w:sz w:val="16"/>
          <w:szCs w:val="16"/>
        </w:rPr>
        <w:t xml:space="preserve"> </w:t>
      </w:r>
    </w:p>
    <w:p>
      <w:pPr>
        <w:keepNext/>
        <w:keepLines/>
        <w:shd w:fill="F3F4F6" w:color="auto" w:val="clear"/>
        <w:spacing w:after="0" w:before="0" w:line="240"/>
        <w:ind w:left="120" w:right="120"/>
      </w:pPr>
      <w:r>
        <w:rPr>
          <w:rFonts w:ascii="Consolas" w:cs="Consolas" w:eastAsia="Consolas" w:hAnsi="Consolas"/>
          <w:sz w:val="16"/>
          <w:szCs w:val="16"/>
        </w:rPr>
        <w:t xml:space="preserve">train = df[df.edition &lt;= 2020]</w:t>
      </w:r>
    </w:p>
    <w:p>
      <w:pPr>
        <w:keepNext/>
        <w:keepLines/>
        <w:shd w:fill="F3F4F6" w:color="auto" w:val="clear"/>
        <w:spacing w:after="0" w:before="0" w:line="240"/>
        <w:ind w:left="120" w:right="120"/>
      </w:pPr>
      <w:r>
        <w:rPr>
          <w:rFonts w:ascii="Consolas" w:cs="Consolas" w:eastAsia="Consolas" w:hAnsi="Consolas"/>
          <w:sz w:val="16"/>
          <w:szCs w:val="16"/>
        </w:rPr>
        <w:t xml:space="preserve">valid = df[df.edition == 2022]</w:t>
      </w:r>
    </w:p>
    <w:p>
      <w:pPr>
        <w:keepNext/>
        <w:keepLines/>
        <w:shd w:fill="F3F4F6" w:color="auto" w:val="clear"/>
        <w:spacing w:after="0" w:before="0" w:line="240"/>
        <w:ind w:left="120" w:right="120"/>
      </w:pPr>
      <w:r>
        <w:rPr>
          <w:rFonts w:ascii="Consolas" w:cs="Consolas" w:eastAsia="Consolas" w:hAnsi="Consolas"/>
          <w:sz w:val="16"/>
          <w:szCs w:val="16"/>
        </w:rPr>
        <w:t xml:space="preserve">test  = df[df.edition == 2024]     # sealed: opened once, at the very end</w:t>
      </w:r>
    </w:p>
    <w:p>
      <w:pPr>
        <w:keepNext/>
        <w:keepLines/>
        <w:shd w:fill="F3F4F6" w:color="auto" w:val="clear"/>
        <w:spacing w:after="0" w:before="0" w:line="240"/>
        <w:ind w:left="120" w:right="120"/>
      </w:pPr>
      <w:r>
        <w:rPr>
          <w:rFonts w:ascii="Consolas" w:cs="Consolas" w:eastAsia="Consolas" w:hAnsi="Consolas"/>
          <w:sz w:val="16"/>
          <w:szCs w:val="16"/>
        </w:rPr>
        <w:t xml:space="preserve"> </w:t>
      </w:r>
    </w:p>
    <w:p>
      <w:pPr>
        <w:keepNext/>
        <w:keepLines/>
        <w:shd w:fill="F3F4F6" w:color="auto" w:val="clear"/>
        <w:spacing w:after="0" w:before="0" w:line="240"/>
        <w:ind w:left="120" w:right="120"/>
      </w:pPr>
      <w:r>
        <w:rPr>
          <w:rFonts w:ascii="Consolas" w:cs="Consolas" w:eastAsia="Consolas" w:hAnsi="Consolas"/>
          <w:sz w:val="16"/>
          <w:szCs w:val="16"/>
        </w:rPr>
        <w:t xml:space="preserve">prep = ColumnTransformer([</w:t>
      </w:r>
    </w:p>
    <w:p>
      <w:pPr>
        <w:keepNext/>
        <w:keepLines/>
        <w:shd w:fill="F3F4F6" w:color="auto" w:val="clear"/>
        <w:spacing w:after="0" w:before="0" w:line="240"/>
        <w:ind w:left="120" w:right="120"/>
      </w:pPr>
      <w:r>
        <w:rPr>
          <w:rFonts w:ascii="Consolas" w:cs="Consolas" w:eastAsia="Consolas" w:hAnsi="Consolas"/>
          <w:sz w:val="16"/>
          <w:szCs w:val="16"/>
        </w:rPr>
        <w:t xml:space="preserve">    ("num", Pipeline([("imp", SimpleImputer(strategy="median")),</w:t>
      </w:r>
    </w:p>
    <w:p>
      <w:pPr>
        <w:keepNext/>
        <w:keepLines/>
        <w:shd w:fill="F3F4F6" w:color="auto" w:val="clear"/>
        <w:spacing w:after="0" w:before="0" w:line="240"/>
        <w:ind w:left="120" w:right="120"/>
      </w:pPr>
      <w:r>
        <w:rPr>
          <w:rFonts w:ascii="Consolas" w:cs="Consolas" w:eastAsia="Consolas" w:hAnsi="Consolas"/>
          <w:sz w:val="16"/>
          <w:szCs w:val="16"/>
        </w:rPr>
        <w:t xml:space="preserve">                      ("sc",  RobustScaler())]), num),</w:t>
      </w:r>
    </w:p>
    <w:p>
      <w:pPr>
        <w:keepNext/>
        <w:keepLines/>
        <w:shd w:fill="F3F4F6" w:color="auto" w:val="clear"/>
        <w:spacing w:after="0" w:before="0" w:line="240"/>
        <w:ind w:left="120" w:right="120"/>
      </w:pPr>
      <w:r>
        <w:rPr>
          <w:rFonts w:ascii="Consolas" w:cs="Consolas" w:eastAsia="Consolas" w:hAnsi="Consolas"/>
          <w:sz w:val="16"/>
          <w:szCs w:val="16"/>
        </w:rPr>
        <w:t xml:space="preserve">    ("cat", OneHotEncoder(handle_unknown="ignore"), cat)])</w:t>
      </w:r>
    </w:p>
    <w:p>
      <w:pPr>
        <w:keepNext/>
        <w:keepLines/>
        <w:shd w:fill="F3F4F6" w:color="auto" w:val="clear"/>
        <w:spacing w:after="0" w:before="0" w:line="240"/>
        <w:ind w:left="120" w:right="120"/>
      </w:pPr>
      <w:r>
        <w:rPr>
          <w:rFonts w:ascii="Consolas" w:cs="Consolas" w:eastAsia="Consolas" w:hAnsi="Consolas"/>
          <w:sz w:val="16"/>
          <w:szCs w:val="16"/>
        </w:rPr>
        <w:t xml:space="preserve">pipe = Pipeline([("prep", prep), ("enet", ElasticNet(max_iter=10000))])</w:t>
      </w:r>
    </w:p>
    <w:p>
      <w:pPr>
        <w:keepNext/>
        <w:keepLines/>
        <w:shd w:fill="F3F4F6" w:color="auto" w:val="clear"/>
        <w:spacing w:after="0" w:before="0" w:line="240"/>
        <w:ind w:left="120" w:right="120"/>
      </w:pPr>
      <w:r>
        <w:rPr>
          <w:rFonts w:ascii="Consolas" w:cs="Consolas" w:eastAsia="Consolas" w:hAnsi="Consolas"/>
          <w:sz w:val="16"/>
          <w:szCs w:val="16"/>
        </w:rPr>
        <w:t xml:space="preserve"> </w:t>
      </w:r>
    </w:p>
    <w:p>
      <w:pPr>
        <w:keepNext/>
        <w:keepLines/>
        <w:shd w:fill="F3F4F6" w:color="auto" w:val="clear"/>
        <w:spacing w:after="0" w:before="0" w:line="240"/>
        <w:ind w:left="120" w:right="120"/>
      </w:pPr>
      <w:r>
        <w:rPr>
          <w:rFonts w:ascii="Consolas" w:cs="Consolas" w:eastAsia="Consolas" w:hAnsi="Consolas"/>
          <w:sz w:val="16"/>
          <w:szCs w:val="16"/>
        </w:rPr>
        <w:t xml:space="preserve">inner = list(GroupKFold(n_splits=5).split(train, groups=train["country"]))</w:t>
      </w:r>
    </w:p>
    <w:p>
      <w:pPr>
        <w:keepNext/>
        <w:keepLines/>
        <w:shd w:fill="F3F4F6" w:color="auto" w:val="clear"/>
        <w:spacing w:after="0" w:before="0" w:line="240"/>
        <w:ind w:left="120" w:right="120"/>
      </w:pPr>
      <w:r>
        <w:rPr>
          <w:rFonts w:ascii="Consolas" w:cs="Consolas" w:eastAsia="Consolas" w:hAnsi="Consolas"/>
          <w:sz w:val="16"/>
          <w:szCs w:val="16"/>
        </w:rPr>
        <w:t xml:space="preserve">grid = GridSearchCV(pipe,</w:t>
      </w:r>
    </w:p>
    <w:p>
      <w:pPr>
        <w:keepNext/>
        <w:keepLines/>
        <w:shd w:fill="F3F4F6" w:color="auto" w:val="clear"/>
        <w:spacing w:after="0" w:before="0" w:line="240"/>
        <w:ind w:left="120" w:right="120"/>
      </w:pPr>
      <w:r>
        <w:rPr>
          <w:rFonts w:ascii="Consolas" w:cs="Consolas" w:eastAsia="Consolas" w:hAnsi="Consolas"/>
          <w:sz w:val="16"/>
          <w:szCs w:val="16"/>
        </w:rPr>
        <w:t xml:space="preserve">        {"enet__alpha": np.logspace(-4, 0, 9),</w:t>
      </w:r>
    </w:p>
    <w:p>
      <w:pPr>
        <w:keepNext/>
        <w:keepLines/>
        <w:shd w:fill="F3F4F6" w:color="auto" w:val="clear"/>
        <w:spacing w:after="0" w:before="0" w:line="240"/>
        <w:ind w:left="120" w:right="120"/>
      </w:pPr>
      <w:r>
        <w:rPr>
          <w:rFonts w:ascii="Consolas" w:cs="Consolas" w:eastAsia="Consolas" w:hAnsi="Consolas"/>
          <w:sz w:val="16"/>
          <w:szCs w:val="16"/>
        </w:rPr>
        <w:t xml:space="preserve">         "enet__l1_ratio": [0.1, 0.5, 0.9, 1.0]},</w:t>
      </w:r>
    </w:p>
    <w:p>
      <w:pPr>
        <w:keepNext/>
        <w:keepLines/>
        <w:shd w:fill="F3F4F6" w:color="auto" w:val="clear"/>
        <w:spacing w:after="0" w:before="0" w:line="240"/>
        <w:ind w:left="120" w:right="120"/>
      </w:pPr>
      <w:r>
        <w:rPr>
          <w:rFonts w:ascii="Consolas" w:cs="Consolas" w:eastAsia="Consolas" w:hAnsi="Consolas"/>
          <w:sz w:val="16"/>
          <w:szCs w:val="16"/>
        </w:rPr>
        <w:t xml:space="preserve">        cv=inner, scoring="neg_mean_absolute_error")</w:t>
      </w:r>
    </w:p>
    <w:p>
      <w:pPr>
        <w:keepNext/>
        <w:keepLines/>
        <w:shd w:fill="F3F4F6" w:color="auto" w:val="clear"/>
        <w:spacing w:after="0" w:before="0" w:line="240"/>
        <w:ind w:left="120" w:right="120"/>
      </w:pPr>
      <w:r>
        <w:rPr>
          <w:rFonts w:ascii="Consolas" w:cs="Consolas" w:eastAsia="Consolas" w:hAnsi="Consolas"/>
          <w:sz w:val="16"/>
          <w:szCs w:val="16"/>
        </w:rPr>
        <w:t xml:space="preserve">grid.fit(train[num + cat], train[target])   # whole pipeline refit per fold</w:t>
      </w:r>
    </w:p>
    <w:p>
      <w:pPr>
        <w:keepNext/>
        <w:keepLines/>
        <w:shd w:fill="F3F4F6" w:color="auto" w:val="clear"/>
        <w:spacing w:after="0" w:before="0" w:line="240"/>
        <w:ind w:left="120" w:right="120"/>
      </w:pPr>
      <w:r>
        <w:rPr>
          <w:rFonts w:ascii="Consolas" w:cs="Consolas" w:eastAsia="Consolas" w:hAnsi="Consolas"/>
          <w:sz w:val="16"/>
          <w:szCs w:val="16"/>
        </w:rPr>
        <w:t xml:space="preserve"> </w:t>
      </w:r>
    </w:p>
    <w:p>
      <w:pPr>
        <w:keepNext/>
        <w:keepLines/>
        <w:shd w:fill="F3F4F6" w:color="auto" w:val="clear"/>
        <w:spacing w:after="0" w:before="0" w:line="240"/>
        <w:ind w:left="120" w:right="120"/>
      </w:pPr>
      <w:r>
        <w:rPr>
          <w:rFonts w:ascii="Consolas" w:cs="Consolas" w:eastAsia="Consolas" w:hAnsi="Consolas"/>
          <w:sz w:val="16"/>
          <w:szCs w:val="16"/>
        </w:rPr>
        <w:t xml:space="preserve">pred = grid.predict(valid[num + cat])</w:t>
      </w:r>
    </w:p>
    <w:p>
      <w:pPr>
        <w:keepNext w:val="false"/>
        <w:keepLines/>
        <w:pBdr>
          <w:bottom w:val="single" w:color="D0D4D9" w:sz="4" w:space="4"/>
        </w:pBdr>
        <w:shd w:fill="F3F4F6" w:color="auto" w:val="clear"/>
        <w:spacing w:after="0" w:before="0" w:line="240"/>
        <w:ind w:left="120" w:right="120"/>
      </w:pPr>
      <w:r>
        <w:rPr>
          <w:rFonts w:ascii="Consolas" w:cs="Consolas" w:eastAsia="Consolas" w:hAnsi="Consolas"/>
          <w:sz w:val="16"/>
          <w:szCs w:val="16"/>
        </w:rPr>
        <w:t xml:space="preserve">print(mean_absolute_error(valid[target], pred), r2_score(valid[target], pred))</w:t>
      </w:r>
    </w:p>
    <w:p>
      <w:pPr>
        <w:spacing w:after="160"/>
      </w:pPr>
    </w:p>
    <w:p>
      <w:pPr>
        <w:pStyle w:val="Heading2"/>
      </w:pPr>
      <w:r>
        <w:rPr>
          <w:rFonts w:ascii="Arial" w:cs="Arial" w:eastAsia="Arial" w:hAnsi="Arial"/>
        </w:rPr>
        <w:t xml:space="preserve">6.4 Validation</w:t>
      </w:r>
    </w:p>
    <w:p>
      <w:pPr>
        <w:keepNext/>
        <w:spacing w:after="120" w:line="288"/>
      </w:pPr>
      <w:r>
        <w:rPr>
          <w:rFonts w:ascii="Arial" w:cs="Arial" w:eastAsia="Arial" w:hAnsi="Arial"/>
          <w:sz w:val="21"/>
          <w:szCs w:val="21"/>
        </w:rPr>
        <w:t xml:space="preserve">Each algorithm is judged on pre-agreed metrics and acceptance rules. Thresholds below are starting points to be confirmed with the service owner at the M3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300"/>
        <w:gridCol w:w="2726"/>
      </w:tblGrid>
      <w:tr>
        <w:trPr>
          <w:cantSplit/>
          <w:tblHeader/>
        </w:trPr>
        <w:tc>
          <w:tcPr>
            <w:tcW w:type="dxa" w:w="13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Task</w:t>
            </w:r>
          </w:p>
        </w:tc>
        <w:tc>
          <w:tcPr>
            <w:tcW w:type="dxa" w:w="27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Primary metrics</w:t>
            </w:r>
          </w:p>
        </w:tc>
        <w:tc>
          <w:tcPr>
            <w:tcW w:type="dxa" w:w="23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Diagnostics</w:t>
            </w:r>
          </w:p>
        </w:tc>
        <w:tc>
          <w:tcPr>
            <w:tcW w:type="dxa" w:w="272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Acceptance rule</w:t>
            </w:r>
          </w:p>
        </w:tc>
      </w:tr>
      <w:tr>
        <w:trPr>
          <w:cantSplit/>
        </w:trPr>
        <w:tc>
          <w:tcPr>
            <w:tcW w:type="dxa" w:w="1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Regression (A1)</w:t>
            </w:r>
          </w:p>
        </w:tc>
        <w:tc>
          <w:tcPr>
            <w:tcW w:type="dxa" w:w="2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MAE, RMSE, R-squared, out-of-time</w:t>
            </w:r>
          </w:p>
        </w:tc>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Residual versus fitted, QQ plot, Cook's distance, VIF</w:t>
            </w:r>
          </w:p>
        </w:tc>
        <w:tc>
          <w:tcPr>
            <w:tcW w:type="dxa" w:w="2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MAE at least 10 percent below the OLS baseline, or the simpler model is kept</w:t>
            </w:r>
          </w:p>
        </w:tc>
      </w:tr>
      <w:tr>
        <w:trPr>
          <w:cantSplit/>
        </w:trPr>
        <w:tc>
          <w:tcPr>
            <w:tcW w:type="dxa" w:w="1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Classification (A2)</w:t>
            </w:r>
          </w:p>
        </w:tc>
        <w:tc>
          <w:tcPr>
            <w:tcW w:type="dxa" w:w="2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PR-AUC, macro-F1, balanced accuracy, recall at fixed precision, Brier score</w:t>
            </w:r>
          </w:p>
        </w:tc>
        <w:tc>
          <w:tcPr>
            <w:tcW w:type="dxa" w:w="2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Calibration curve; confusion matrix by segment</w:t>
            </w:r>
          </w:p>
        </w:tc>
        <w:tc>
          <w:tcPr>
            <w:tcW w:type="dxa" w:w="2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Beats logistic baseline by more than one standard error; calibration slope 0.8 to 1.2</w:t>
            </w:r>
          </w:p>
        </w:tc>
      </w:tr>
      <w:tr>
        <w:trPr>
          <w:cantSplit/>
        </w:trPr>
        <w:tc>
          <w:tcPr>
            <w:tcW w:type="dxa" w:w="1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Clustering (A3)</w:t>
            </w:r>
          </w:p>
        </w:tc>
        <w:tc>
          <w:tcPr>
            <w:tcW w:type="dxa" w:w="2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Silhouette, Davies–Bouldin, gap statistic; bootstrap adjusted Rand index</w:t>
            </w:r>
          </w:p>
        </w:tc>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Cluster sizes; profile plots; Ward agreement</w:t>
            </w:r>
          </w:p>
        </w:tc>
        <w:tc>
          <w:tcPr>
            <w:tcW w:type="dxa" w:w="2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Mean silhouette of at least 0.25 and ARI of at least 0.75, otherwise report a continuum, not types</w:t>
            </w:r>
          </w:p>
        </w:tc>
      </w:tr>
      <w:tr>
        <w:trPr>
          <w:cantSplit/>
        </w:trPr>
        <w:tc>
          <w:tcPr>
            <w:tcW w:type="dxa" w:w="1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Survival (A4)</w:t>
            </w:r>
          </w:p>
        </w:tc>
        <w:tc>
          <w:tcPr>
            <w:tcW w:type="dxa" w:w="2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Concordance index; calibration at 30, 60, 90 days; integrated Brier score</w:t>
            </w:r>
          </w:p>
        </w:tc>
        <w:tc>
          <w:tcPr>
            <w:tcW w:type="dxa" w:w="2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Schoenfeld residuals; martingale residuals</w:t>
            </w:r>
          </w:p>
        </w:tc>
        <w:tc>
          <w:tcPr>
            <w:tcW w:type="dxa" w:w="2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Concordance above 0.6; proportional-hazards violations addressed</w:t>
            </w:r>
          </w:p>
        </w:tc>
      </w:tr>
      <w:tr>
        <w:trPr>
          <w:cantSplit/>
        </w:trPr>
        <w:tc>
          <w:tcPr>
            <w:tcW w:type="dxa" w:w="1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Forecasting (A5)</w:t>
            </w:r>
          </w:p>
        </w:tc>
        <w:tc>
          <w:tcPr>
            <w:tcW w:type="dxa" w:w="2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MASE, sMAPE; 80 and 95 percent interval coverage</w:t>
            </w:r>
          </w:p>
        </w:tc>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Ljung–Box test on residuals</w:t>
            </w:r>
          </w:p>
        </w:tc>
        <w:tc>
          <w:tcPr>
            <w:tcW w:type="dxa" w:w="27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MASE below 1 against seasonal naive; coverage within 5 points of nominal</w:t>
            </w:r>
          </w:p>
        </w:tc>
      </w:tr>
      <w:tr>
        <w:trPr>
          <w:cantSplit/>
        </w:trPr>
        <w:tc>
          <w:tcPr>
            <w:tcW w:type="dxa" w:w="1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Fairness (all)</w:t>
            </w:r>
          </w:p>
        </w:tc>
        <w:tc>
          <w:tcPr>
            <w:tcW w:type="dxa" w:w="2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Error and recall gaps between segments</w:t>
            </w:r>
          </w:p>
        </w:tc>
        <w:tc>
          <w:tcPr>
            <w:tcW w:type="dxa" w:w="2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Segment sample sizes</w:t>
            </w:r>
          </w:p>
        </w:tc>
        <w:tc>
          <w:tcPr>
            <w:tcW w:type="dxa" w:w="27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Gap within the tolerance agreed with the service owner; any larger gap documented and investigated</w:t>
            </w:r>
          </w:p>
        </w:tc>
      </w:tr>
    </w:tbl>
    <w:p>
      <w:pPr>
        <w:spacing w:after="160"/>
      </w:pPr>
    </w:p>
    <w:p>
      <w:pPr>
        <w:spacing w:after="120" w:line="288"/>
      </w:pPr>
      <w:r>
        <w:rPr>
          <w:rFonts w:ascii="Arial" w:cs="Arial" w:eastAsia="Arial" w:hAnsi="Arial"/>
          <w:b/>
          <w:bCs/>
          <w:sz w:val="21"/>
          <w:szCs w:val="21"/>
        </w:rPr>
        <w:t xml:space="preserve">Comparing models.</w:t>
      </w:r>
      <w:r>
        <w:rPr>
          <w:rFonts w:ascii="Arial" w:cs="Arial" w:eastAsia="Arial" w:hAnsi="Arial"/>
          <w:sz w:val="21"/>
          <w:szCs w:val="21"/>
        </w:rPr>
        <w:t xml:space="preserve"> Differences between models are judged with bootstrap intervals on out-of-fold scores and, where repeated resampling is used, the corrected resampled t-test (Nadeau and Bengio, 2003). Where many comparisons are made, Holm correction is applied. Effect sizes are reported, not only significance.</w:t>
      </w:r>
    </w:p>
    <w:p>
      <w:pPr>
        <w:spacing w:after="120" w:line="288"/>
      </w:pPr>
      <w:r>
        <w:rPr>
          <w:rFonts w:ascii="Arial" w:cs="Arial" w:eastAsia="Arial" w:hAnsi="Arial"/>
          <w:b/>
          <w:bCs/>
          <w:sz w:val="21"/>
          <w:szCs w:val="21"/>
        </w:rPr>
        <w:t xml:space="preserve">Sensitivity analyses.</w:t>
      </w:r>
      <w:r>
        <w:rPr>
          <w:rFonts w:ascii="Arial" w:cs="Arial" w:eastAsia="Arial" w:hAnsi="Arial"/>
          <w:sz w:val="21"/>
          <w:szCs w:val="21"/>
        </w:rPr>
        <w:t xml:space="preserve"> Each core result is re-run under: (i) alternative imputation (median, group-wise median, MICE); (ii) alternative outlier treatment (keep, cap, remove); (iii) dropping early survey editions and adding edition effects; (iv) leaving out India, or a whole region; (v) alternative k for clusters; and (vi) ten random seeds. A finding is called robust only if its sign and rough size survive these changes.</w:t>
      </w:r>
    </w:p>
    <w:p>
      <w:pPr>
        <w:pStyle w:val="Heading2"/>
      </w:pPr>
      <w:r>
        <w:rPr>
          <w:rFonts w:ascii="Arial" w:cs="Arial" w:eastAsia="Arial" w:hAnsi="Arial"/>
        </w:rPr>
        <w:t xml:space="preserve">6.5 Fairness and privacy checks within the workflow</w:t>
      </w:r>
    </w:p>
    <w:p>
      <w:pPr>
        <w:pStyle w:val="ListParagraph"/>
        <w:numPr>
          <w:ilvl w:val="0"/>
          <w:numId w:val="2"/>
        </w:numPr>
        <w:spacing w:after="70" w:line="280"/>
      </w:pPr>
      <w:r>
        <w:rPr>
          <w:rFonts w:ascii="Arial" w:cs="Arial" w:eastAsia="Arial" w:hAnsi="Arial"/>
          <w:sz w:val="21"/>
          <w:szCs w:val="21"/>
        </w:rPr>
        <w:t xml:space="preserve">Evaluate every supervised model by segment (Section 6.2) and report gaps, not only averages.</w:t>
      </w:r>
    </w:p>
    <w:p>
      <w:pPr>
        <w:pStyle w:val="ListParagraph"/>
        <w:numPr>
          <w:ilvl w:val="0"/>
          <w:numId w:val="2"/>
        </w:numPr>
        <w:spacing w:after="70" w:line="280"/>
      </w:pPr>
      <w:r>
        <w:rPr>
          <w:rFonts w:ascii="Arial" w:cs="Arial" w:eastAsia="Arial" w:hAnsi="Arial"/>
          <w:sz w:val="21"/>
          <w:szCs w:val="21"/>
        </w:rPr>
        <w:t xml:space="preserve">Check that the chosen target is a defensible proxy for the real goal, in line with the label-choice lesson from Obermeyer et al. (2019).</w:t>
      </w:r>
    </w:p>
    <w:p>
      <w:pPr>
        <w:pStyle w:val="ListParagraph"/>
        <w:numPr>
          <w:ilvl w:val="0"/>
          <w:numId w:val="2"/>
        </w:numPr>
        <w:spacing w:after="70" w:line="280"/>
      </w:pPr>
      <w:r>
        <w:rPr>
          <w:rFonts w:ascii="Arial" w:cs="Arial" w:eastAsia="Arial" w:hAnsi="Arial"/>
          <w:sz w:val="21"/>
          <w:szCs w:val="21"/>
        </w:rPr>
        <w:t xml:space="preserve">Use pseudonymised keys, aggregate wherever possible and apply small-cell suppression. Follow the Digital Personal Data Protection Act 2023 and the Strategic Plan's data-minimisation rules for any record-level data.</w:t>
      </w:r>
    </w:p>
    <w:p>
      <w:pPr>
        <w:pStyle w:val="ListParagraph"/>
        <w:numPr>
          <w:ilvl w:val="0"/>
          <w:numId w:val="2"/>
        </w:numPr>
        <w:spacing w:after="70" w:line="280"/>
      </w:pPr>
      <w:r>
        <w:rPr>
          <w:rFonts w:ascii="Arial" w:cs="Arial" w:eastAsia="Arial" w:hAnsi="Arial"/>
          <w:sz w:val="21"/>
          <w:szCs w:val="21"/>
        </w:rPr>
        <w:t xml:space="preserve">Write a model card for each model: purpose, data, metrics, segment performance, known limits and the human decision-maker responsible.</w:t>
      </w:r>
    </w:p>
    <w:p>
      <w:pPr>
        <w:pStyle w:val="Heading1"/>
      </w:pPr>
      <w:r>
        <w:rPr>
          <w:rFonts w:ascii="Arial" w:cs="Arial" w:eastAsia="Arial" w:hAnsi="Arial"/>
        </w:rPr>
        <w:t xml:space="preserve">7. Time Management: 33 Hours</w:t>
      </w:r>
    </w:p>
    <w:p>
      <w:pPr>
        <w:keepNext/>
        <w:spacing w:after="120" w:line="288"/>
      </w:pPr>
      <w:r>
        <w:rPr>
          <w:rFonts w:ascii="Arial" w:cs="Arial" w:eastAsia="Arial" w:hAnsi="Arial"/>
          <w:sz w:val="21"/>
          <w:szCs w:val="21"/>
        </w:rPr>
        <w:t xml:space="preserve">The schedule fits the 30 to 35 hour allowance with ten phases and ten milestones. It assumes that at least a draft of the processed dataset from the Acquisition Plan and Preparation Guide exists. If it does not, Tier A files (UN and World Bank) are acquired first, and the time is taken from the contingency hours and from the clustering and forecasting phases, in the order given under Scope Control below.</w:t>
      </w:r>
    </w:p>
    <w:p>
      <w:pPr>
        <w:keepNext/>
        <w:spacing w:after="0" w:before="120"/>
        <w:jc w:val="center"/>
      </w:pPr>
      <w:r>
        <w:drawing>
          <wp:inline distT="0" distB="0" distL="0" distR="0">
            <wp:extent cx="4953000" cy="18288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828800"/>
                    </a:xfrm>
                    <a:prstGeom prst="rect">
                      <a:avLst/>
                    </a:prstGeom>
                  </pic:spPr>
                </pic:pic>
              </a:graphicData>
            </a:graphic>
          </wp:inline>
        </w:drawing>
      </w:r>
    </w:p>
    <w:p>
      <w:pPr>
        <w:spacing w:after="200" w:before="60"/>
        <w:jc w:val="center"/>
      </w:pPr>
      <w:r>
        <w:rPr>
          <w:rFonts w:ascii="Arial" w:cs="Arial" w:eastAsia="Arial" w:hAnsi="Arial"/>
          <w:i/>
          <w:iCs/>
          <w:color w:val="5B6770"/>
          <w:sz w:val="18"/>
          <w:szCs w:val="18"/>
        </w:rPr>
        <w:t xml:space="preserve">Figure 3. Phase durations and cumulative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50"/>
        <w:gridCol w:w="700"/>
        <w:gridCol w:w="3326"/>
        <w:gridCol w:w="2450"/>
      </w:tblGrid>
      <w:tr>
        <w:trPr>
          <w:cantSplit/>
          <w:tblHeader/>
        </w:trPr>
        <w:tc>
          <w:tcPr>
            <w:tcW w:type="dxa" w:w="18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Phase</w:t>
            </w:r>
          </w:p>
        </w:tc>
        <w:tc>
          <w:tcPr>
            <w:tcW w:type="dxa" w:w="75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Hours</w:t>
            </w:r>
          </w:p>
        </w:tc>
        <w:tc>
          <w:tcPr>
            <w:tcW w:type="dxa" w:w="7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Cum.</w:t>
            </w:r>
          </w:p>
        </w:tc>
        <w:tc>
          <w:tcPr>
            <w:tcW w:type="dxa" w:w="332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Main tasks</w:t>
            </w:r>
          </w:p>
        </w:tc>
        <w:tc>
          <w:tcPr>
            <w:tcW w:type="dxa" w:w="245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Milestone</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P1 Literature review and synthesis</w:t>
            </w:r>
          </w:p>
        </w:tc>
        <w:tc>
          <w:tcPr>
            <w:tcW w:type="dxa" w:w="7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4</w:t>
            </w:r>
          </w:p>
        </w:tc>
        <w:tc>
          <w:tcPr>
            <w:tcW w:type="dxa" w:w="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4</w:t>
            </w:r>
          </w:p>
        </w:tc>
        <w:tc>
          <w:tcPr>
            <w:tcW w:type="dxa" w:w="33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Read and summarise sources for the eight families; extract public-sector applications; write the synthesis</w:t>
            </w:r>
          </w:p>
        </w:tc>
        <w:tc>
          <w:tcPr>
            <w:tcW w:type="dxa" w:w="24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M1 (h4): literature review complete</w:t>
            </w:r>
          </w:p>
        </w:tc>
      </w:tr>
      <w:tr>
        <w:trPr>
          <w:cantSplit/>
        </w:trPr>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P2 Problem framing and algorithm design</w:t>
            </w:r>
          </w:p>
        </w:tc>
        <w:tc>
          <w:tcPr>
            <w:tcW w:type="dxa" w:w="7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3</w:t>
            </w:r>
          </w:p>
        </w:tc>
        <w:tc>
          <w:tcPr>
            <w:tcW w:type="dxa" w:w="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7</w:t>
            </w:r>
          </w:p>
        </w:tc>
        <w:tc>
          <w:tcPr>
            <w:tcW w:type="dxa" w:w="33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Define data tiers, targets, leakage audit; selection criteria; write algorithm specifications</w:t>
            </w:r>
          </w:p>
        </w:tc>
        <w:tc>
          <w:tcPr>
            <w:tcW w:type="dxa" w:w="24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M2 (h7): algorithm design approved</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P3 Analytical dataset, features and splits</w:t>
            </w:r>
          </w:p>
        </w:tc>
        <w:tc>
          <w:tcPr>
            <w:tcW w:type="dxa" w:w="7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4</w:t>
            </w:r>
          </w:p>
        </w:tc>
        <w:tc>
          <w:tcPr>
            <w:tcW w:type="dxa" w:w="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11</w:t>
            </w:r>
          </w:p>
        </w:tc>
        <w:tc>
          <w:tcPr>
            <w:tcW w:type="dxa" w:w="33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Assemble panel; engineer features; in-fold pipeline; split manifest; seal test set</w:t>
            </w:r>
          </w:p>
        </w:tc>
        <w:tc>
          <w:tcPr>
            <w:tcW w:type="dxa" w:w="24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M3 (h11): frozen dataset and splits. Gate: quality thresholds met or scope narrowed</w:t>
            </w:r>
          </w:p>
        </w:tc>
      </w:tr>
      <w:tr>
        <w:trPr>
          <w:cantSplit/>
        </w:trPr>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P4 EDA and baseline models</w:t>
            </w:r>
          </w:p>
        </w:tc>
        <w:tc>
          <w:tcPr>
            <w:tcW w:type="dxa" w:w="7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2</w:t>
            </w:r>
          </w:p>
        </w:tc>
        <w:tc>
          <w:tcPr>
            <w:tcW w:type="dxa" w:w="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13</w:t>
            </w:r>
          </w:p>
        </w:tc>
        <w:tc>
          <w:tcPr>
            <w:tcW w:type="dxa" w:w="33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Distributions, correlations, missingness patterns; baseline metrics</w:t>
            </w:r>
          </w:p>
        </w:tc>
        <w:tc>
          <w:tcPr>
            <w:tcW w:type="dxa" w:w="24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M4 (h13): baselines recorded</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P5 Regression and classification (A1, A2)</w:t>
            </w:r>
          </w:p>
        </w:tc>
        <w:tc>
          <w:tcPr>
            <w:tcW w:type="dxa" w:w="7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6</w:t>
            </w:r>
          </w:p>
        </w:tc>
        <w:tc>
          <w:tcPr>
            <w:tcW w:type="dxa" w:w="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19</w:t>
            </w:r>
          </w:p>
        </w:tc>
        <w:tc>
          <w:tcPr>
            <w:tcW w:type="dxa" w:w="33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Elastic net, fixed effects, logistic, boosted trees; nested tuning; SHAP. Includes 1 contingency hour</w:t>
            </w:r>
          </w:p>
        </w:tc>
        <w:tc>
          <w:tcPr>
            <w:tcW w:type="dxa" w:w="24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M5 (h19): core models validated. Gate: beat baseline or keep simple model</w:t>
            </w:r>
          </w:p>
        </w:tc>
      </w:tr>
      <w:tr>
        <w:trPr>
          <w:cantSplit/>
        </w:trPr>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P6 Clustering (A3)</w:t>
            </w:r>
          </w:p>
        </w:tc>
        <w:tc>
          <w:tcPr>
            <w:tcW w:type="dxa" w:w="7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3</w:t>
            </w:r>
          </w:p>
        </w:tc>
        <w:tc>
          <w:tcPr>
            <w:tcW w:type="dxa" w:w="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22</w:t>
            </w:r>
          </w:p>
        </w:tc>
        <w:tc>
          <w:tcPr>
            <w:tcW w:type="dxa" w:w="33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Feature selection, k search, stability, Ward cross-check, profiling</w:t>
            </w:r>
          </w:p>
        </w:tc>
        <w:tc>
          <w:tcPr>
            <w:tcW w:type="dxa" w:w="24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M6 (h22): segments profiled</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P7 Survival and forecasting (A4, A5)</w:t>
            </w:r>
          </w:p>
        </w:tc>
        <w:tc>
          <w:tcPr>
            <w:tcW w:type="dxa" w:w="7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3</w:t>
            </w:r>
          </w:p>
        </w:tc>
        <w:tc>
          <w:tcPr>
            <w:tcW w:type="dxa" w:w="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25</w:t>
            </w:r>
          </w:p>
        </w:tc>
        <w:tc>
          <w:tcPr>
            <w:tcW w:type="dxa" w:w="33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Kaplan–Meier and Cox if Tier D is available; ETS, SARIMA and boosted forecasts. Includes 1 contingency hour</w:t>
            </w:r>
          </w:p>
        </w:tc>
        <w:tc>
          <w:tcPr>
            <w:tcW w:type="dxa" w:w="24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M7 (h25): secondary models complete</w:t>
            </w:r>
          </w:p>
        </w:tc>
      </w:tr>
      <w:tr>
        <w:trPr>
          <w:cantSplit/>
        </w:trPr>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P8 Validation, robustness, fairness</w:t>
            </w:r>
          </w:p>
        </w:tc>
        <w:tc>
          <w:tcPr>
            <w:tcW w:type="dxa" w:w="7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3</w:t>
            </w:r>
          </w:p>
        </w:tc>
        <w:tc>
          <w:tcPr>
            <w:tcW w:type="dxa" w:w="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28</w:t>
            </w:r>
          </w:p>
        </w:tc>
        <w:tc>
          <w:tcPr>
            <w:tcW w:type="dxa" w:w="33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Sensitivity analyses, segment metrics, residual and calibration checks, model cards</w:t>
            </w:r>
          </w:p>
        </w:tc>
        <w:tc>
          <w:tcPr>
            <w:tcW w:type="dxa" w:w="24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M8 (h28): robustness appendix. Gate: findings robust enough to present</w:t>
            </w:r>
          </w:p>
        </w:tc>
      </w:tr>
      <w:tr>
        <w:trPr>
          <w:cantSplit/>
        </w:trPr>
        <w:tc>
          <w:tcPr>
            <w:tcW w:type="dxa" w:w="1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P9 Interpretation and recommendations</w:t>
            </w:r>
          </w:p>
        </w:tc>
        <w:tc>
          <w:tcPr>
            <w:tcW w:type="dxa" w:w="7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3</w:t>
            </w:r>
          </w:p>
        </w:tc>
        <w:tc>
          <w:tcPr>
            <w:tcW w:type="dxa" w:w="7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31</w:t>
            </w:r>
          </w:p>
        </w:tc>
        <w:tc>
          <w:tcPr>
            <w:tcW w:type="dxa" w:w="33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Interpret outputs; test hypotheses; link to actions and KPIs; prioritise</w:t>
            </w:r>
          </w:p>
        </w:tc>
        <w:tc>
          <w:tcPr>
            <w:tcW w:type="dxa" w:w="24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M9 (h31): recommendation set</w:t>
            </w:r>
          </w:p>
        </w:tc>
      </w:tr>
      <w:tr>
        <w:trPr>
          <w:cantSplit/>
        </w:trPr>
        <w:tc>
          <w:tcPr>
            <w:tcW w:type="dxa" w:w="1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P10 Documentation and review</w:t>
            </w:r>
          </w:p>
        </w:tc>
        <w:tc>
          <w:tcPr>
            <w:tcW w:type="dxa" w:w="7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2</w:t>
            </w:r>
          </w:p>
        </w:tc>
        <w:tc>
          <w:tcPr>
            <w:tcW w:type="dxa" w:w="7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33</w:t>
            </w:r>
          </w:p>
        </w:tc>
        <w:tc>
          <w:tcPr>
            <w:tcW w:type="dxa" w:w="33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Finalise document, figures, reproducibility notes; peer review; corrections</w:t>
            </w:r>
          </w:p>
        </w:tc>
        <w:tc>
          <w:tcPr>
            <w:tcW w:type="dxa" w:w="24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M10 (h33): final delivery</w:t>
            </w:r>
          </w:p>
        </w:tc>
      </w:tr>
    </w:tbl>
    <w:p>
      <w:pPr>
        <w:spacing w:after="160"/>
      </w:pPr>
    </w:p>
    <w:p>
      <w:pPr>
        <w:spacing w:after="120" w:line="288"/>
      </w:pPr>
      <w:r>
        <w:rPr>
          <w:rFonts w:ascii="Arial" w:cs="Arial" w:eastAsia="Arial" w:hAnsi="Arial"/>
          <w:b/>
          <w:bCs/>
          <w:sz w:val="21"/>
          <w:szCs w:val="21"/>
        </w:rPr>
        <w:t xml:space="preserve">Daily pattern (six working days).</w:t>
      </w:r>
      <w:r>
        <w:rPr>
          <w:rFonts w:ascii="Arial" w:cs="Arial" w:eastAsia="Arial" w:hAnsi="Arial"/>
          <w:sz w:val="21"/>
          <w:szCs w:val="21"/>
        </w:rPr>
        <w:t xml:space="preserve"> Day 1 (6 h): P1 and the first 2 hours of P2. Day 2 (6 h): last hour of P2, P3, first hour of P4. Day 3 (6 h): last hour of P4 and 5 hours of P5. Day 4 (6 h): last hour of P5, P6, 2 hours of P7. Day 5 (6 h): last hour of P7, P8, 2 hours of P9. Day 6 (3 h): last hour of P9 and P10.</w:t>
      </w:r>
    </w:p>
    <w:p>
      <w:pPr>
        <w:pStyle w:val="Heading3"/>
      </w:pPr>
      <w:r>
        <w:rPr>
          <w:rFonts w:ascii="Arial" w:cs="Arial" w:eastAsia="Arial" w:hAnsi="Arial"/>
        </w:rPr>
        <w:t xml:space="preserve">Scope control</w:t>
      </w:r>
    </w:p>
    <w:p>
      <w:pPr>
        <w:keepNext/>
        <w:spacing w:after="120" w:line="288"/>
      </w:pPr>
      <w:r>
        <w:rPr>
          <w:rFonts w:ascii="Arial" w:cs="Arial" w:eastAsia="Arial" w:hAnsi="Arial"/>
          <w:sz w:val="21"/>
          <w:szCs w:val="21"/>
        </w:rPr>
        <w:t xml:space="preserve">If the project is more than 3 hours behind at M5, scope is cut in this order:</w:t>
      </w:r>
    </w:p>
    <w:p>
      <w:pPr>
        <w:pStyle w:val="ListParagraph"/>
        <w:numPr>
          <w:ilvl w:val="0"/>
          <w:numId w:val="5"/>
        </w:numPr>
        <w:spacing w:after="70" w:line="280"/>
      </w:pPr>
      <w:r>
        <w:rPr>
          <w:rFonts w:ascii="Arial" w:cs="Arial" w:eastAsia="Arial" w:hAnsi="Arial"/>
          <w:sz w:val="21"/>
          <w:szCs w:val="21"/>
        </w:rPr>
        <w:t xml:space="preserve">Drop the boosted forecasting challenger and keep ETS and SARIMA only.</w:t>
      </w:r>
    </w:p>
    <w:p>
      <w:pPr>
        <w:pStyle w:val="ListParagraph"/>
        <w:numPr>
          <w:ilvl w:val="0"/>
          <w:numId w:val="5"/>
        </w:numPr>
        <w:spacing w:after="70" w:line="280"/>
      </w:pPr>
      <w:r>
        <w:rPr>
          <w:rFonts w:ascii="Arial" w:cs="Arial" w:eastAsia="Arial" w:hAnsi="Arial"/>
          <w:sz w:val="21"/>
          <w:szCs w:val="21"/>
        </w:rPr>
        <w:t xml:space="preserve">Reduce A4 to Kaplan–Meier curves and log-rank tests, without the Cox model.</w:t>
      </w:r>
    </w:p>
    <w:p>
      <w:pPr>
        <w:pStyle w:val="ListParagraph"/>
        <w:numPr>
          <w:ilvl w:val="0"/>
          <w:numId w:val="5"/>
        </w:numPr>
        <w:spacing w:after="70" w:line="280"/>
      </w:pPr>
      <w:r>
        <w:rPr>
          <w:rFonts w:ascii="Arial" w:cs="Arial" w:eastAsia="Arial" w:hAnsi="Arial"/>
          <w:sz w:val="21"/>
          <w:szCs w:val="21"/>
        </w:rPr>
        <w:t xml:space="preserve">Skip HDBSCAN and the MICE sensitivity run; keep k-means and Ward.</w:t>
      </w:r>
    </w:p>
    <w:p>
      <w:pPr>
        <w:pStyle w:val="ListParagraph"/>
        <w:numPr>
          <w:ilvl w:val="0"/>
          <w:numId w:val="5"/>
        </w:numPr>
        <w:spacing w:after="70" w:line="280"/>
      </w:pPr>
      <w:r>
        <w:rPr>
          <w:rFonts w:ascii="Arial" w:cs="Arial" w:eastAsia="Arial" w:hAnsi="Arial"/>
          <w:sz w:val="21"/>
          <w:szCs w:val="21"/>
        </w:rPr>
        <w:t xml:space="preserve">Reduce hyperparameter trials from 50 to 20.</w:t>
      </w:r>
    </w:p>
    <w:p>
      <w:pPr>
        <w:spacing w:after="120" w:line="288"/>
      </w:pPr>
      <w:r>
        <w:rPr>
          <w:rFonts w:ascii="Arial" w:cs="Arial" w:eastAsia="Arial" w:hAnsi="Arial"/>
          <w:b/>
          <w:bCs/>
          <w:sz w:val="21"/>
          <w:szCs w:val="21"/>
        </w:rPr>
        <w:t xml:space="preserve">Never cut:</w:t>
      </w:r>
      <w:r>
        <w:rPr>
          <w:rFonts w:ascii="Arial" w:cs="Arial" w:eastAsia="Arial" w:hAnsi="Arial"/>
          <w:sz w:val="21"/>
          <w:szCs w:val="21"/>
        </w:rPr>
        <w:t xml:space="preserve"> leakage controls, the sealed test set, performance by segment, and the limitations section.</w:t>
      </w:r>
    </w:p>
    <w:p>
      <w:pPr>
        <w:spacing w:after="120" w:line="288"/>
      </w:pPr>
      <w:r>
        <w:rPr>
          <w:rFonts w:ascii="Arial" w:cs="Arial" w:eastAsia="Arial" w:hAnsi="Arial"/>
          <w:sz w:val="21"/>
          <w:szCs w:val="21"/>
        </w:rPr>
        <w:t xml:space="preserve">Extension modules A6 and A7 are outside the 33 hours and begin only if the schedule is ahead of plan.</w:t>
      </w:r>
    </w:p>
    <w:p>
      <w:pPr>
        <w:pStyle w:val="Heading1"/>
      </w:pPr>
      <w:r>
        <w:rPr>
          <w:rFonts w:ascii="Arial" w:cs="Arial" w:eastAsia="Arial" w:hAnsi="Arial"/>
        </w:rPr>
        <w:t xml:space="preserve">8. Results Interpretation and Links to Service Improvement</w:t>
      </w:r>
    </w:p>
    <w:p>
      <w:pPr>
        <w:pStyle w:val="Heading2"/>
      </w:pPr>
      <w:r>
        <w:rPr>
          <w:rFonts w:ascii="Arial" w:cs="Arial" w:eastAsia="Arial" w:hAnsi="Arial"/>
        </w:rPr>
        <w:t xml:space="preserve">8.1 Principles</w:t>
      </w:r>
    </w:p>
    <w:p>
      <w:pPr>
        <w:pStyle w:val="ListParagraph"/>
        <w:numPr>
          <w:ilvl w:val="0"/>
          <w:numId w:val="2"/>
        </w:numPr>
        <w:spacing w:after="70" w:line="280"/>
      </w:pPr>
      <w:r>
        <w:rPr>
          <w:rFonts w:ascii="Arial" w:cs="Arial" w:eastAsia="Arial" w:hAnsi="Arial"/>
          <w:b/>
          <w:bCs/>
          <w:sz w:val="21"/>
          <w:szCs w:val="21"/>
        </w:rPr>
        <w:t xml:space="preserve">Report size and uncertainty.</w:t>
      </w:r>
      <w:r>
        <w:rPr>
          <w:rFonts w:ascii="Arial" w:cs="Arial" w:eastAsia="Arial" w:hAnsi="Arial"/>
          <w:sz w:val="21"/>
          <w:szCs w:val="21"/>
        </w:rPr>
        <w:t xml:space="preserve"> Every estimate carries an interval; every comparison reports an effect size.</w:t>
      </w:r>
    </w:p>
    <w:p>
      <w:pPr>
        <w:pStyle w:val="ListParagraph"/>
        <w:numPr>
          <w:ilvl w:val="0"/>
          <w:numId w:val="2"/>
        </w:numPr>
        <w:spacing w:after="70" w:line="280"/>
      </w:pPr>
      <w:r>
        <w:rPr>
          <w:rFonts w:ascii="Arial" w:cs="Arial" w:eastAsia="Arial" w:hAnsi="Arial"/>
          <w:b/>
          <w:bCs/>
          <w:sz w:val="21"/>
          <w:szCs w:val="21"/>
        </w:rPr>
        <w:t xml:space="preserve">Association is not cause.</w:t>
      </w:r>
      <w:r>
        <w:rPr>
          <w:rFonts w:ascii="Arial" w:cs="Arial" w:eastAsia="Arial" w:hAnsi="Arial"/>
          <w:sz w:val="21"/>
          <w:szCs w:val="21"/>
        </w:rPr>
        <w:t xml:space="preserve"> Causal language is used only where the design supports it (a controlled experiment or difference-in-differences, as in the Strategic Plan). Otherwise findings are described as associations or priorities for testing.</w:t>
      </w:r>
    </w:p>
    <w:p>
      <w:pPr>
        <w:pStyle w:val="ListParagraph"/>
        <w:numPr>
          <w:ilvl w:val="0"/>
          <w:numId w:val="2"/>
        </w:numPr>
        <w:spacing w:after="70" w:line="280"/>
      </w:pPr>
      <w:r>
        <w:rPr>
          <w:rFonts w:ascii="Arial" w:cs="Arial" w:eastAsia="Arial" w:hAnsi="Arial"/>
          <w:b/>
          <w:bCs/>
          <w:sz w:val="21"/>
          <w:szCs w:val="21"/>
        </w:rPr>
        <w:t xml:space="preserve">Practical versus statistical significance.</w:t>
      </w:r>
      <w:r>
        <w:rPr>
          <w:rFonts w:ascii="Arial" w:cs="Arial" w:eastAsia="Arial" w:hAnsi="Arial"/>
          <w:sz w:val="21"/>
          <w:szCs w:val="21"/>
        </w:rPr>
        <w:t xml:space="preserve"> A small, precise effect may not justify a service change; a large, noisy one may justify a pilot.</w:t>
      </w:r>
    </w:p>
    <w:p>
      <w:pPr>
        <w:pStyle w:val="ListParagraph"/>
        <w:numPr>
          <w:ilvl w:val="0"/>
          <w:numId w:val="2"/>
        </w:numPr>
        <w:spacing w:after="70" w:line="280"/>
      </w:pPr>
      <w:r>
        <w:rPr>
          <w:rFonts w:ascii="Arial" w:cs="Arial" w:eastAsia="Arial" w:hAnsi="Arial"/>
          <w:b/>
          <w:bCs/>
          <w:sz w:val="21"/>
          <w:szCs w:val="21"/>
        </w:rPr>
        <w:t xml:space="preserve">Triangulate.</w:t>
      </w:r>
      <w:r>
        <w:rPr>
          <w:rFonts w:ascii="Arial" w:cs="Arial" w:eastAsia="Arial" w:hAnsi="Arial"/>
          <w:sz w:val="21"/>
          <w:szCs w:val="21"/>
        </w:rPr>
        <w:t xml:space="preserve"> A finding is stronger when two methods agree, for example when elastic net coefficients and SHAP rankings point to the same drivers, or when clusters and regression residuals identify the same lagging group.</w:t>
      </w:r>
    </w:p>
    <w:p>
      <w:pPr>
        <w:pStyle w:val="ListParagraph"/>
        <w:numPr>
          <w:ilvl w:val="0"/>
          <w:numId w:val="2"/>
        </w:numPr>
        <w:spacing w:after="70" w:line="280"/>
      </w:pPr>
      <w:r>
        <w:rPr>
          <w:rFonts w:ascii="Arial" w:cs="Arial" w:eastAsia="Arial" w:hAnsi="Arial"/>
          <w:b/>
          <w:bCs/>
          <w:sz w:val="21"/>
          <w:szCs w:val="21"/>
        </w:rPr>
        <w:t xml:space="preserve">Aggregates describe places, not people.</w:t>
      </w:r>
      <w:r>
        <w:rPr>
          <w:rFonts w:ascii="Arial" w:cs="Arial" w:eastAsia="Arial" w:hAnsi="Arial"/>
          <w:sz w:val="21"/>
          <w:szCs w:val="21"/>
        </w:rPr>
        <w:t xml:space="preserve"> State and country results must not be read as statements about individual citizens (the ecological fallacy).</w:t>
      </w:r>
    </w:p>
    <w:p>
      <w:pPr>
        <w:pStyle w:val="Heading2"/>
      </w:pPr>
      <w:r>
        <w:rPr>
          <w:rFonts w:ascii="Arial" w:cs="Arial" w:eastAsia="Arial" w:hAnsi="Arial"/>
        </w:rPr>
        <w:t xml:space="preserve">8.2 Reading each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400"/>
        <w:gridCol w:w="3000"/>
        <w:gridCol w:w="2376"/>
      </w:tblGrid>
      <w:tr>
        <w:trPr>
          <w:cantSplit/>
          <w:tblHeader/>
        </w:trPr>
        <w:tc>
          <w:tcPr>
            <w:tcW w:type="dxa" w:w="125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Algorithm</w:t>
            </w:r>
          </w:p>
        </w:tc>
        <w:tc>
          <w:tcPr>
            <w:tcW w:type="dxa" w:w="24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What to examine</w:t>
            </w:r>
          </w:p>
        </w:tc>
        <w:tc>
          <w:tcPr>
            <w:tcW w:type="dxa" w:w="30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How to read it</w:t>
            </w:r>
          </w:p>
        </w:tc>
        <w:tc>
          <w:tcPr>
            <w:tcW w:type="dxa" w:w="237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Typical pitfall</w:t>
            </w:r>
          </w:p>
        </w:tc>
      </w:tr>
      <w:tr>
        <w:trPr>
          <w:cantSplit/>
        </w:trPr>
        <w:tc>
          <w:tcPr>
            <w:tcW w:type="dxa" w:w="12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A1 Regression</w:t>
            </w:r>
          </w:p>
        </w:tc>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Standardised coefficients; selection frequency; out-of-time error; residuals by country or state</w:t>
            </w:r>
          </w:p>
        </w:tc>
        <w:tc>
          <w:tcPr>
            <w:tcW w:type="dxa" w:w="3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Variables selected in at least 70% of resamples are stable drivers. Large positive residual: service maturity above what infrastructure predicts. Large negative: below.</w:t>
            </w:r>
          </w:p>
        </w:tc>
        <w:tc>
          <w:tcPr>
            <w:tcW w:type="dxa" w:w="23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Treating a coefficient as a policy lever; ignoring collinearity</w:t>
            </w:r>
          </w:p>
        </w:tc>
      </w:tr>
      <w:tr>
        <w:trPr>
          <w:cantSplit/>
        </w:trPr>
        <w:tc>
          <w:tcPr>
            <w:tcW w:type="dxa" w:w="12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A2 Classification</w:t>
            </w:r>
          </w:p>
        </w:tc>
        <w:tc>
          <w:tcPr>
            <w:tcW w:type="dxa" w:w="2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SHAP summary and dependence plots; calibration; performance by segment</w:t>
            </w:r>
          </w:p>
        </w:tc>
        <w:tc>
          <w:tcPr>
            <w:tcW w:type="dxa" w:w="3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Which features push risk up or down, and for whom. Calibrated scores support triage queues.</w:t>
            </w:r>
          </w:p>
        </w:tc>
        <w:tc>
          <w:tcPr>
            <w:tcW w:type="dxa" w:w="237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Reading SHAP as cause; using an uncalibrated score as a probability</w:t>
            </w:r>
          </w:p>
        </w:tc>
      </w:tr>
      <w:tr>
        <w:trPr>
          <w:cantSplit/>
        </w:trPr>
        <w:tc>
          <w:tcPr>
            <w:tcW w:type="dxa" w:w="12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A3 Clustering</w:t>
            </w:r>
          </w:p>
        </w:tc>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Centroid profiles in z-scores; cluster sizes; stability</w:t>
            </w:r>
          </w:p>
        </w:tc>
        <w:tc>
          <w:tcPr>
            <w:tcW w:type="dxa" w:w="3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Name each segment by what is high or low relative to others. Compare service outcome to infrastructure within each cluster.</w:t>
            </w:r>
          </w:p>
        </w:tc>
        <w:tc>
          <w:tcPr>
            <w:tcW w:type="dxa" w:w="23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Over-interpreting weak structure; naming clusters before profiling</w:t>
            </w:r>
          </w:p>
        </w:tc>
      </w:tr>
      <w:tr>
        <w:trPr>
          <w:cantSplit/>
        </w:trPr>
        <w:tc>
          <w:tcPr>
            <w:tcW w:type="dxa" w:w="12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A4 Survival</w:t>
            </w:r>
          </w:p>
        </w:tc>
        <w:tc>
          <w:tcPr>
            <w:tcW w:type="dxa" w:w="24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Kaplan–Meier curves with intervals; hazard ratios; median and 90th percentile times</w:t>
            </w:r>
          </w:p>
        </w:tc>
        <w:tc>
          <w:tcPr>
            <w:tcW w:type="dxa" w:w="3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Hazard ratio below 1: slower resolution than the reference group. The 90th percentile shows the long tail citizens experience.</w:t>
            </w:r>
          </w:p>
        </w:tc>
        <w:tc>
          <w:tcPr>
            <w:tcW w:type="dxa" w:w="237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Reporting mean time on closed cases; ignoring non-proportional hazards</w:t>
            </w:r>
          </w:p>
        </w:tc>
      </w:tr>
      <w:tr>
        <w:trPr>
          <w:cantSplit/>
        </w:trPr>
        <w:tc>
          <w:tcPr>
            <w:tcW w:type="dxa" w:w="12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A5 Forecasting</w:t>
            </w:r>
          </w:p>
        </w:tc>
        <w:tc>
          <w:tcPr>
            <w:tcW w:type="dxa" w:w="24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Forecast with 80% and 95% intervals; seasonal and event components; coverage</w:t>
            </w:r>
          </w:p>
        </w:tc>
        <w:tc>
          <w:tcPr>
            <w:tcW w:type="dxa" w:w="3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Plan capacity to the upper interval at known peaks. Compare accuracy with seasonal naive.</w:t>
            </w:r>
          </w:p>
        </w:tc>
        <w:tc>
          <w:tcPr>
            <w:tcW w:type="dxa" w:w="23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Treating the point forecast as certain; extrapolating beyond 12 months</w:t>
            </w:r>
          </w:p>
        </w:tc>
      </w:tr>
    </w:tbl>
    <w:p>
      <w:pPr>
        <w:spacing w:after="160"/>
      </w:pPr>
    </w:p>
    <w:p>
      <w:pPr>
        <w:pStyle w:val="Heading2"/>
      </w:pPr>
      <w:r>
        <w:rPr>
          <w:rFonts w:ascii="Arial" w:cs="Arial" w:eastAsia="Arial" w:hAnsi="Arial"/>
        </w:rPr>
        <w:t xml:space="preserve">8.3 Hypotheses with tests that could prove them wrong</w:t>
      </w:r>
    </w:p>
    <w:p>
      <w:pPr>
        <w:keepNext/>
        <w:spacing w:after="120" w:line="288"/>
      </w:pPr>
      <w:r>
        <w:rPr>
          <w:rFonts w:ascii="Arial" w:cs="Arial" w:eastAsia="Arial" w:hAnsi="Arial"/>
          <w:sz w:val="21"/>
          <w:szCs w:val="21"/>
        </w:rPr>
        <w:t xml:space="preserve">Expected outcomes are stated as hypotheses so that the analysis can disconfirm them. None has been tested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2626"/>
      </w:tblGrid>
      <w:tr>
        <w:trPr>
          <w:cantSplit/>
          <w:tblHeader/>
        </w:trPr>
        <w:tc>
          <w:tcPr>
            <w:tcW w:type="dxa" w:w="6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ID</w:t>
            </w:r>
          </w:p>
        </w:tc>
        <w:tc>
          <w:tcPr>
            <w:tcW w:type="dxa" w:w="32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Hypothesis</w:t>
            </w:r>
          </w:p>
        </w:tc>
        <w:tc>
          <w:tcPr>
            <w:tcW w:type="dxa" w:w="26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Test</w:t>
            </w:r>
          </w:p>
        </w:tc>
        <w:tc>
          <w:tcPr>
            <w:tcW w:type="dxa" w:w="262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Falsified if</w:t>
            </w:r>
          </w:p>
        </w:tc>
      </w:tr>
      <w:tr>
        <w:trPr>
          <w:cantSplit/>
        </w:trPr>
        <w:tc>
          <w:tcPr>
            <w:tcW w:type="dxa" w:w="6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H1</w:t>
            </w:r>
          </w:p>
        </w:tc>
        <w:tc>
          <w:tcPr>
            <w:tcW w:type="dxa" w:w="32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OSI is positively associated with human capital, connectivity and government effectiveness, but infrastructure explains only part of the variation.</w:t>
            </w:r>
          </w:p>
        </w:tc>
        <w:tc>
          <w:tcPr>
            <w:tcW w:type="dxa" w:w="26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A1 out-of-time R-squared and stable coefficients for these variables</w:t>
            </w:r>
          </w:p>
        </w:tc>
        <w:tc>
          <w:tcPr>
            <w:tcW w:type="dxa" w:w="26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Out-of-time R-squared is below 0.3, or signs are unstable across resamples</w:t>
            </w:r>
          </w:p>
        </w:tc>
      </w:tr>
      <w:tr>
        <w:trPr>
          <w:cantSplit/>
        </w:trPr>
        <w:tc>
          <w:tcPr>
            <w:tcW w:type="dxa" w:w="6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H2</w:t>
            </w:r>
          </w:p>
        </w:tc>
        <w:tc>
          <w:tcPr>
            <w:tcW w:type="dxa" w:w="32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Some countries and states deliver much better or worse online services than their infrastructure predicts.</w:t>
            </w:r>
          </w:p>
        </w:tc>
        <w:tc>
          <w:tcPr>
            <w:tcW w:type="dxa" w:w="26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A1 residual distribution; residuals persistent across editions</w:t>
            </w:r>
          </w:p>
        </w:tc>
        <w:tc>
          <w:tcPr>
            <w:tcW w:type="dxa" w:w="26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Residuals are small and change sign from edition to edition</w:t>
            </w:r>
          </w:p>
        </w:tc>
      </w:tr>
      <w:tr>
        <w:trPr>
          <w:cantSplit/>
        </w:trPr>
        <w:tc>
          <w:tcPr>
            <w:tcW w:type="dxa" w:w="6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H3</w:t>
            </w:r>
          </w:p>
        </w:tc>
        <w:tc>
          <w:tcPr>
            <w:tcW w:type="dxa" w:w="32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Countries and states fall into a small number of stable digital-readiness segments, including an infrastructure-rich but service-lagging group.</w:t>
            </w:r>
          </w:p>
        </w:tc>
        <w:tc>
          <w:tcPr>
            <w:tcW w:type="dxa" w:w="26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A3 stability (ARI at least 0.75); Ward agreement; profile comparison</w:t>
            </w:r>
          </w:p>
        </w:tc>
        <w:tc>
          <w:tcPr>
            <w:tcW w:type="dxa" w:w="26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No stable solution; silhouette below 0.25</w:t>
            </w:r>
          </w:p>
        </w:tc>
      </w:tr>
      <w:tr>
        <w:trPr>
          <w:cantSplit/>
        </w:trPr>
        <w:tc>
          <w:tcPr>
            <w:tcW w:type="dxa" w:w="6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H4</w:t>
            </w:r>
          </w:p>
        </w:tc>
        <w:tc>
          <w:tcPr>
            <w:tcW w:type="dxa" w:w="32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Resolution time differs substantially between grievance categories and departments, with a long tail beyond the median. (Tier D)</w:t>
            </w:r>
          </w:p>
        </w:tc>
        <w:tc>
          <w:tcPr>
            <w:tcW w:type="dxa" w:w="26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A4 log-rank test; hazard ratios; 90th percentile versus median</w:t>
            </w:r>
          </w:p>
        </w:tc>
        <w:tc>
          <w:tcPr>
            <w:tcW w:type="dxa" w:w="26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No significant or material differences after Holm correction</w:t>
            </w:r>
          </w:p>
        </w:tc>
      </w:tr>
      <w:tr>
        <w:trPr>
          <w:cantSplit/>
        </w:trPr>
        <w:tc>
          <w:tcPr>
            <w:tcW w:type="dxa" w:w="6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H5</w:t>
            </w:r>
          </w:p>
        </w:tc>
        <w:tc>
          <w:tcPr>
            <w:tcW w:type="dxa" w:w="32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Monthly transaction volumes show repeatable seasonal and deadline peaks that a model with event features forecasts better than a plain seasonal model.</w:t>
            </w:r>
          </w:p>
        </w:tc>
        <w:tc>
          <w:tcPr>
            <w:tcW w:type="dxa" w:w="26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A5 MASE for boosted versus ETS and seasonal naive on rolling origin</w:t>
            </w:r>
          </w:p>
        </w:tc>
        <w:tc>
          <w:tcPr>
            <w:tcW w:type="dxa" w:w="26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Event features do not improve MASE over ETS</w:t>
            </w:r>
          </w:p>
        </w:tc>
      </w:tr>
    </w:tbl>
    <w:p>
      <w:pPr>
        <w:spacing w:after="160"/>
      </w:pPr>
    </w:p>
    <w:p>
      <w:pPr>
        <w:pStyle w:val="Heading2"/>
      </w:pPr>
      <w:r>
        <w:rPr>
          <w:rFonts w:ascii="Arial" w:cs="Arial" w:eastAsia="Arial" w:hAnsi="Arial"/>
        </w:rPr>
        <w:t xml:space="preserve">8.4 An illustration of reading a result (hypothetical)</w:t>
      </w:r>
    </w:p>
    <w:p>
      <w:pPr>
        <w:spacing w:after="120" w:line="288"/>
      </w:pPr>
      <w:r>
        <w:rPr>
          <w:rFonts w:ascii="Arial" w:cs="Arial" w:eastAsia="Arial" w:hAnsi="Arial"/>
          <w:sz w:val="21"/>
          <w:szCs w:val="21"/>
        </w:rPr>
        <w:t xml:space="preserve">The UN data centre reports India's EGDI rising from 0.5883 in 2022 to 0.66776 in 2024, and its rank from 105 to 97. Suppose A1 retains human capital, mobile connectivity and government effectiveness as stable drivers. The residual for India then separates two explanations: either the rise is largely predicted by gains in those drivers, in which case sustained infrastructure and skills investment explain the progress, or India's online services improved by more than the drivers predict, in which case service design and institutional reform are the likely source and are worth studying and repeating. The same logic applied to a country with strong infrastructure and a large negative residual would point to a service-design bottleneck rather than a connectivity gap. This is an example of the reasoning, not a result.</w:t>
      </w:r>
    </w:p>
    <w:p>
      <w:pPr>
        <w:pStyle w:val="Heading2"/>
      </w:pPr>
      <w:r>
        <w:rPr>
          <w:rFonts w:ascii="Arial" w:cs="Arial" w:eastAsia="Arial" w:hAnsi="Arial"/>
        </w:rPr>
        <w:t xml:space="preserve">8.5 Linking findings to improvements in public digital services</w:t>
      </w:r>
    </w:p>
    <w:p>
      <w:pPr>
        <w:keepNext/>
        <w:spacing w:after="120" w:line="288"/>
      </w:pPr>
      <w:r>
        <w:rPr>
          <w:rFonts w:ascii="Arial" w:cs="Arial" w:eastAsia="Arial" w:hAnsi="Arial"/>
          <w:sz w:val="21"/>
          <w:szCs w:val="21"/>
        </w:rPr>
        <w:t xml:space="preserve">Each finding pattern maps to a service action, a KPI from the Strategic Plan and the related objective.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2200"/>
        <w:gridCol w:w="2300"/>
        <w:gridCol w:w="1000"/>
        <w:gridCol w:w="1376"/>
      </w:tblGrid>
      <w:tr>
        <w:trPr>
          <w:cantSplit/>
          <w:tblHeader/>
        </w:trPr>
        <w:tc>
          <w:tcPr>
            <w:tcW w:type="dxa" w:w="215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Finding pattern</w:t>
            </w:r>
          </w:p>
        </w:tc>
        <w:tc>
          <w:tcPr>
            <w:tcW w:type="dxa" w:w="22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Interpretation</w:t>
            </w:r>
          </w:p>
        </w:tc>
        <w:tc>
          <w:tcPr>
            <w:tcW w:type="dxa" w:w="23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Service improvement</w:t>
            </w:r>
          </w:p>
        </w:tc>
        <w:tc>
          <w:tcPr>
            <w:tcW w:type="dxa" w:w="10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Objective</w:t>
            </w:r>
          </w:p>
        </w:tc>
        <w:tc>
          <w:tcPr>
            <w:tcW w:type="dxa" w:w="137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KPI</w:t>
            </w:r>
          </w:p>
        </w:tc>
      </w:tr>
      <w:tr>
        <w:trPr>
          <w:cantSplit/>
        </w:trPr>
        <w:tc>
          <w:tcPr>
            <w:tcW w:type="dxa" w:w="21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Large negative OSI residual despite strong infrastructure (A1, A3)</w:t>
            </w:r>
          </w:p>
        </w:tc>
        <w:tc>
          <w:tcPr>
            <w:tcW w:type="dxa" w:w="22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Bottleneck is service design or institutions, not connectivity</w:t>
            </w:r>
          </w:p>
        </w:tc>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Prioritise digitising high-volume services, simplify forms, publish service-level standards</w:t>
            </w:r>
          </w:p>
        </w:tc>
        <w:tc>
          <w:tcPr>
            <w:tcW w:type="dxa" w:w="1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O1, O2</w:t>
            </w:r>
          </w:p>
        </w:tc>
        <w:tc>
          <w:tcPr>
            <w:tcW w:type="dxa" w:w="13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End-to-end completion rate; step-level abandonment</w:t>
            </w:r>
          </w:p>
        </w:tc>
      </w:tr>
      <w:tr>
        <w:trPr>
          <w:cantSplit/>
        </w:trPr>
        <w:tc>
          <w:tcPr>
            <w:tcW w:type="dxa" w:w="21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Low infrastructure and low service cluster (A3)</w:t>
            </w:r>
          </w:p>
        </w:tc>
        <w:tc>
          <w:tcPr>
            <w:tcW w:type="dxa" w:w="22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Access and skills barriers</w:t>
            </w:r>
          </w:p>
        </w:tc>
        <w:tc>
          <w:tcPr>
            <w:tcW w:type="dxa" w:w="2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Assisted-service kiosks, mobile-first and multilingual design, outreach to lagging districts</w:t>
            </w:r>
          </w:p>
        </w:tc>
        <w:tc>
          <w:tcPr>
            <w:tcW w:type="dxa" w:w="1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O5</w:t>
            </w:r>
          </w:p>
        </w:tc>
        <w:tc>
          <w:tcPr>
            <w:tcW w:type="dxa" w:w="137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Completion gap between best and worst segment</w:t>
            </w:r>
          </w:p>
        </w:tc>
      </w:tr>
      <w:tr>
        <w:trPr>
          <w:cantSplit/>
        </w:trPr>
        <w:tc>
          <w:tcPr>
            <w:tcW w:type="dxa" w:w="21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Hazard ratio below 1 for specific departments or categories (A4)</w:t>
            </w:r>
          </w:p>
        </w:tc>
        <w:tc>
          <w:tcPr>
            <w:tcW w:type="dxa" w:w="22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Workflow bottleneck or under-resourcing</w:t>
            </w:r>
          </w:p>
        </w:tc>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Set or tighten service-level targets, review escalation matrix, rebalance staff</w:t>
            </w:r>
          </w:p>
        </w:tc>
        <w:tc>
          <w:tcPr>
            <w:tcW w:type="dxa" w:w="1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O4</w:t>
            </w:r>
          </w:p>
        </w:tc>
        <w:tc>
          <w:tcPr>
            <w:tcW w:type="dxa" w:w="13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Median and 90th-percentile resolution time; share of repeat complaints</w:t>
            </w:r>
          </w:p>
        </w:tc>
      </w:tr>
      <w:tr>
        <w:trPr>
          <w:cantSplit/>
        </w:trPr>
        <w:tc>
          <w:tcPr>
            <w:tcW w:type="dxa" w:w="21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High predicted SLA-breach risk for a case type (A2)</w:t>
            </w:r>
          </w:p>
        </w:tc>
        <w:tc>
          <w:tcPr>
            <w:tcW w:type="dxa" w:w="22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Cases likely to stall without intervention</w:t>
            </w:r>
          </w:p>
        </w:tc>
        <w:tc>
          <w:tcPr>
            <w:tcW w:type="dxa" w:w="2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Human-reviewed triage queue that surfaces at-risk cases early</w:t>
            </w:r>
          </w:p>
        </w:tc>
        <w:tc>
          <w:tcPr>
            <w:tcW w:type="dxa" w:w="1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O4</w:t>
            </w:r>
          </w:p>
        </w:tc>
        <w:tc>
          <w:tcPr>
            <w:tcW w:type="dxa" w:w="137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Share resolved within target</w:t>
            </w:r>
          </w:p>
        </w:tc>
      </w:tr>
      <w:tr>
        <w:trPr>
          <w:cantSplit/>
        </w:trPr>
        <w:tc>
          <w:tcPr>
            <w:tcW w:type="dxa" w:w="21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Repeatable deadline and seasonal peaks (A5)</w:t>
            </w:r>
          </w:p>
        </w:tc>
        <w:tc>
          <w:tcPr>
            <w:tcW w:type="dxa" w:w="22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Predictable surges</w:t>
            </w:r>
          </w:p>
        </w:tc>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Scale servers and staffing to the upper forecast interval; pre-deadline reminders to flatten peaks</w:t>
            </w:r>
          </w:p>
        </w:tc>
        <w:tc>
          <w:tcPr>
            <w:tcW w:type="dxa" w:w="1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O1, O3</w:t>
            </w:r>
          </w:p>
        </w:tc>
        <w:tc>
          <w:tcPr>
            <w:tcW w:type="dxa" w:w="13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Portal availability; wait time; helpline load</w:t>
            </w:r>
          </w:p>
        </w:tc>
      </w:tr>
      <w:tr>
        <w:trPr>
          <w:cantSplit/>
        </w:trPr>
        <w:tc>
          <w:tcPr>
            <w:tcW w:type="dxa" w:w="215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bCs/>
                <w:sz w:val="16"/>
                <w:szCs w:val="16"/>
              </w:rPr>
              <w:t xml:space="preserve">Persistent segment gaps in model performance or outcomes (A2, A3)</w:t>
            </w:r>
          </w:p>
        </w:tc>
        <w:tc>
          <w:tcPr>
            <w:tcW w:type="dxa" w:w="22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Service or data works worse for some groups</w:t>
            </w:r>
          </w:p>
        </w:tc>
        <w:tc>
          <w:tcPr>
            <w:tcW w:type="dxa" w:w="2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Targeted data collection, offline surveys, redesign for affected groups</w:t>
            </w:r>
          </w:p>
        </w:tc>
        <w:tc>
          <w:tcPr>
            <w:tcW w:type="dxa" w:w="1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O5, O6</w:t>
            </w:r>
          </w:p>
        </w:tc>
        <w:tc>
          <w:tcPr>
            <w:tcW w:type="dxa" w:w="137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spacing w:after="40" w:line="252"/>
            </w:pPr>
            <w:r>
              <w:rPr>
                <w:rFonts w:ascii="Arial" w:cs="Arial" w:eastAsia="Arial" w:hAnsi="Arial"/>
                <w:b w:val="false"/>
                <w:bCs w:val="false"/>
                <w:sz w:val="16"/>
                <w:szCs w:val="16"/>
              </w:rPr>
              <w:t xml:space="preserve">Segment gap; data quality score</w:t>
            </w:r>
          </w:p>
        </w:tc>
      </w:tr>
      <w:tr>
        <w:trPr>
          <w:cantSplit/>
        </w:trPr>
        <w:tc>
          <w:tcPr>
            <w:tcW w:type="dxa" w:w="215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Peer-set comparison for India (A3)</w:t>
            </w:r>
          </w:p>
        </w:tc>
        <w:tc>
          <w:tcPr>
            <w:tcW w:type="dxa" w:w="22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Peers with similar infrastructure but better service</w:t>
            </w:r>
          </w:p>
        </w:tc>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Study peer institutional practice and adapt</w:t>
            </w:r>
          </w:p>
        </w:tc>
        <w:tc>
          <w:tcPr>
            <w:tcW w:type="dxa" w:w="1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O1, O7</w:t>
            </w:r>
          </w:p>
        </w:tc>
        <w:tc>
          <w:tcPr>
            <w:tcW w:type="dxa" w:w="137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OSI and EGDI trend and rank</w:t>
            </w:r>
          </w:p>
        </w:tc>
      </w:tr>
    </w:tbl>
    <w:p>
      <w:pPr>
        <w:spacing w:after="160"/>
      </w:pPr>
    </w:p>
    <w:p>
      <w:pPr>
        <w:spacing w:after="120" w:line="288"/>
      </w:pPr>
      <w:r>
        <w:rPr>
          <w:rFonts w:ascii="Arial" w:cs="Arial" w:eastAsia="Arial" w:hAnsi="Arial"/>
          <w:b/>
          <w:bCs/>
          <w:sz w:val="21"/>
          <w:szCs w:val="21"/>
        </w:rPr>
        <w:t xml:space="preserve">Prioritising actions.</w:t>
      </w:r>
      <w:r>
        <w:rPr>
          <w:rFonts w:ascii="Arial" w:cs="Arial" w:eastAsia="Arial" w:hAnsi="Arial"/>
          <w:sz w:val="21"/>
          <w:szCs w:val="21"/>
        </w:rPr>
        <w:t xml:space="preserve"> Candidate actions are scored as (Impact × Reach × Equity weight) ÷ Effort, with Impact, Reach and Effort each rated 1 to 5 and the Equity weight set at 1.0 by default and 1.5 where the action addresses a segment in the bottom quartile of completion. The five highest-scoring actions enter the roadmap with an owner, a target KPI value and a date, which satisfies objective O7.</w:t>
      </w:r>
    </w:p>
    <w:p>
      <w:pPr>
        <w:spacing w:after="120" w:line="288"/>
      </w:pPr>
      <w:r>
        <w:rPr>
          <w:rFonts w:ascii="Arial" w:cs="Arial" w:eastAsia="Arial" w:hAnsi="Arial"/>
          <w:b/>
          <w:bCs/>
          <w:sz w:val="21"/>
          <w:szCs w:val="21"/>
        </w:rPr>
        <w:t xml:space="preserve">Using results responsibly.</w:t>
      </w:r>
      <w:r>
        <w:rPr>
          <w:rFonts w:ascii="Arial" w:cs="Arial" w:eastAsia="Arial" w:hAnsi="Arial"/>
          <w:sz w:val="21"/>
          <w:szCs w:val="21"/>
        </w:rPr>
        <w:t xml:space="preserve"> Findings are shared with service owners before publication to correct factual errors. Any model score used operationally supports a named human decision-maker, and no model is used for automated denial of a service. Results are shown with intervals and limitations, and model cards travel with the findings.</w:t>
      </w:r>
    </w:p>
    <w:p>
      <w:pPr>
        <w:pStyle w:val="Heading1"/>
      </w:pPr>
      <w:r>
        <w:rPr>
          <w:rFonts w:ascii="Arial" w:cs="Arial" w:eastAsia="Arial" w:hAnsi="Arial"/>
        </w:rPr>
        <w:t xml:space="preserve">9. Limitations, Risks and Safeguards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800"/>
        <w:gridCol w:w="926"/>
      </w:tblGrid>
      <w:tr>
        <w:trPr>
          <w:cantSplit/>
          <w:tblHeader/>
        </w:trPr>
        <w:tc>
          <w:tcPr>
            <w:tcW w:type="dxa" w:w="23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Risk</w:t>
            </w:r>
          </w:p>
        </w:tc>
        <w:tc>
          <w:tcPr>
            <w:tcW w:type="dxa" w:w="30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Why it matters</w:t>
            </w:r>
          </w:p>
        </w:tc>
        <w:tc>
          <w:tcPr>
            <w:tcW w:type="dxa" w:w="2800"/>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Safeguard</w:t>
            </w:r>
          </w:p>
        </w:tc>
        <w:tc>
          <w:tcPr>
            <w:tcW w:type="dxa" w:w="926"/>
            <w:tcBorders>
              <w:top w:val="single" w:color="C9D2DA" w:sz="4"/>
              <w:left w:val="single" w:color="C9D2DA" w:sz="4"/>
              <w:bottom w:val="single" w:color="C9D2DA" w:sz="4"/>
              <w:right w:val="single" w:color="C9D2DA" w:sz="4"/>
            </w:tcBorders>
            <w:shd w:fill="1F3A5F" w:color="auto" w:val="clear"/>
            <w:tcMar>
              <w:top w:type="dxa" w:w="60"/>
              <w:left w:type="dxa" w:w="100"/>
              <w:bottom w:type="dxa" w:w="60"/>
              <w:right w:type="dxa" w:w="100"/>
            </w:tcMar>
            <w:vAlign w:val="top"/>
          </w:tcPr>
          <w:p>
            <w:pPr>
              <w:keepNext/>
              <w:spacing w:after="40" w:line="252"/>
            </w:pPr>
            <w:r>
              <w:rPr>
                <w:rFonts w:ascii="Arial" w:cs="Arial" w:eastAsia="Arial" w:hAnsi="Arial"/>
                <w:b/>
                <w:bCs/>
                <w:color w:val="FFFFFF"/>
                <w:sz w:val="16"/>
                <w:szCs w:val="16"/>
              </w:rPr>
              <w:t xml:space="preserve">Plan ref.</w:t>
            </w:r>
          </w:p>
        </w:tc>
      </w:tr>
      <w:tr>
        <w:trPr>
          <w:cantSplit/>
        </w:trPr>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Overfitting on small samples</w:t>
            </w:r>
          </w:p>
        </w:tc>
        <w:tc>
          <w:tcPr>
            <w:tcW w:type="dxa" w:w="3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Optimistic accuracy and unstable drivers</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Nested validation; regularisation; parsimony rule; intervals; stability selection</w:t>
            </w:r>
          </w:p>
        </w:tc>
        <w:tc>
          <w:tcPr>
            <w:tcW w:type="dxa" w:w="9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R2, R5</w:t>
            </w:r>
          </w:p>
        </w:tc>
      </w:tr>
      <w:tr>
        <w:trPr>
          <w:cantSplit/>
        </w:trPr>
        <w:tc>
          <w:tcPr>
            <w:tcW w:type="dxa" w:w="2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Ecological fallacy</w:t>
            </w:r>
          </w:p>
        </w:tc>
        <w:tc>
          <w:tcPr>
            <w:tcW w:type="dxa" w:w="3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Aggregate patterns misread as individual behaviour</w:t>
            </w:r>
          </w:p>
        </w:tc>
        <w:tc>
          <w:tcPr>
            <w:tcW w:type="dxa" w:w="2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No individual-level claims from aggregate models; careful wording</w:t>
            </w:r>
          </w:p>
        </w:tc>
        <w:tc>
          <w:tcPr>
            <w:tcW w:type="dxa" w:w="9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R5</w:t>
            </w:r>
          </w:p>
        </w:tc>
      </w:tr>
      <w:tr>
        <w:trPr>
          <w:cantSplit/>
        </w:trPr>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Index definitions change across editions</w:t>
            </w:r>
          </w:p>
        </w:tc>
        <w:tc>
          <w:tcPr>
            <w:tcW w:type="dxa" w:w="3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Non-comparable years</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Edition effects; sensitivity dropping early editions; read the UN technical notes</w:t>
            </w:r>
          </w:p>
        </w:tc>
        <w:tc>
          <w:tcPr>
            <w:tcW w:type="dxa" w:w="9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R2</w:t>
            </w:r>
          </w:p>
        </w:tc>
      </w:tr>
      <w:tr>
        <w:trPr>
          <w:cantSplit/>
        </w:trPr>
        <w:tc>
          <w:tcPr>
            <w:tcW w:type="dxa" w:w="2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Target or temporal leakage</w:t>
            </w:r>
          </w:p>
        </w:tc>
        <w:tc>
          <w:tcPr>
            <w:tcW w:type="dxa" w:w="3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Inflated performance; circular findings (EGDI from its components)</w:t>
            </w:r>
          </w:p>
        </w:tc>
        <w:tc>
          <w:tcPr>
            <w:tcW w:type="dxa" w:w="2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Leakage audit; time-forward splits; in-fold preprocessing</w:t>
            </w:r>
          </w:p>
        </w:tc>
        <w:tc>
          <w:tcPr>
            <w:tcW w:type="dxa" w:w="9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R5</w:t>
            </w:r>
          </w:p>
        </w:tc>
      </w:tr>
      <w:tr>
        <w:trPr>
          <w:cantSplit/>
        </w:trPr>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Offline citizens missing from data</w:t>
            </w:r>
          </w:p>
        </w:tc>
        <w:tc>
          <w:tcPr>
            <w:tcW w:type="dxa" w:w="3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Online logs look better than reality</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Disaggregate; report coverage limits; supplement with surveys where possible</w:t>
            </w:r>
          </w:p>
        </w:tc>
        <w:tc>
          <w:tcPr>
            <w:tcW w:type="dxa" w:w="9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R4</w:t>
            </w:r>
          </w:p>
        </w:tc>
      </w:tr>
      <w:tr>
        <w:trPr>
          <w:cantSplit/>
        </w:trPr>
        <w:tc>
          <w:tcPr>
            <w:tcW w:type="dxa" w:w="2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Missingness not at random</w:t>
            </w:r>
          </w:p>
        </w:tc>
        <w:tc>
          <w:tcPr>
            <w:tcW w:type="dxa" w:w="3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Imputation can mislead (for example, unhappy users not rating)</w:t>
            </w:r>
          </w:p>
        </w:tc>
        <w:tc>
          <w:tcPr>
            <w:tcW w:type="dxa" w:w="2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Missing flags; sensitivity runs; never impute the target</w:t>
            </w:r>
          </w:p>
        </w:tc>
        <w:tc>
          <w:tcPr>
            <w:tcW w:type="dxa" w:w="9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R2</w:t>
            </w:r>
          </w:p>
        </w:tc>
      </w:tr>
      <w:tr>
        <w:trPr>
          <w:cantSplit/>
        </w:trPr>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Misuse of scores on individuals</w:t>
            </w:r>
          </w:p>
        </w:tc>
        <w:tc>
          <w:tcPr>
            <w:tcW w:type="dxa" w:w="3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Harm to citizens; loss of trust (Section 3.4)</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Human review; no automated denial; model cards; fairness audit</w:t>
            </w:r>
          </w:p>
        </w:tc>
        <w:tc>
          <w:tcPr>
            <w:tcW w:type="dxa" w:w="9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R9</w:t>
            </w:r>
          </w:p>
        </w:tc>
      </w:tr>
      <w:tr>
        <w:trPr>
          <w:cantSplit/>
        </w:trPr>
        <w:tc>
          <w:tcPr>
            <w:tcW w:type="dxa" w:w="2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Many tests, flexible analysis</w:t>
            </w:r>
          </w:p>
        </w:tc>
        <w:tc>
          <w:tcPr>
            <w:tcW w:type="dxa" w:w="3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False discoveries</w:t>
            </w:r>
          </w:p>
        </w:tc>
        <w:tc>
          <w:tcPr>
            <w:tcW w:type="dxa" w:w="2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Pre-stated hypotheses; Holm correction; analysis log</w:t>
            </w:r>
          </w:p>
        </w:tc>
        <w:tc>
          <w:tcPr>
            <w:tcW w:type="dxa" w:w="9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R5</w:t>
            </w:r>
          </w:p>
        </w:tc>
      </w:tr>
      <w:tr>
        <w:trPr>
          <w:cantSplit/>
        </w:trPr>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Privacy breach with record-level data</w:t>
            </w:r>
          </w:p>
        </w:tc>
        <w:tc>
          <w:tcPr>
            <w:tcW w:type="dxa" w:w="3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Legal and ethical exposure</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Pseudonymisation; minimisation; small-cell suppression; DPDP Act 2023</w:t>
            </w:r>
          </w:p>
        </w:tc>
        <w:tc>
          <w:tcPr>
            <w:tcW w:type="dxa" w:w="9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R3</w:t>
            </w:r>
          </w:p>
        </w:tc>
      </w:tr>
      <w:tr>
        <w:trPr>
          <w:cantSplit/>
        </w:trPr>
        <w:tc>
          <w:tcPr>
            <w:tcW w:type="dxa" w:w="23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Time overrun</w:t>
            </w:r>
          </w:p>
        </w:tc>
        <w:tc>
          <w:tcPr>
            <w:tcW w:type="dxa" w:w="30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Incomplete deliverable</w:t>
            </w:r>
          </w:p>
        </w:tc>
        <w:tc>
          <w:tcPr>
            <w:tcW w:type="dxa" w:w="2800"/>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Phase budgets; milestones; scope-cut order (Section 7)</w:t>
            </w:r>
          </w:p>
        </w:tc>
        <w:tc>
          <w:tcPr>
            <w:tcW w:type="dxa" w:w="926"/>
            <w:tcBorders>
              <w:top w:val="single" w:color="C9D2DA" w:sz="4"/>
              <w:left w:val="single" w:color="C9D2DA" w:sz="4"/>
              <w:bottom w:val="single" w:color="C9D2DA" w:sz="4"/>
              <w:right w:val="single" w:color="C9D2DA" w:sz="4"/>
            </w:tcBorders>
            <w:shd w:fill="F5F8FA" w:color="auto" w:val="clear"/>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R6</w:t>
            </w:r>
          </w:p>
        </w:tc>
      </w:tr>
      <w:tr>
        <w:trPr>
          <w:cantSplit/>
        </w:trPr>
        <w:tc>
          <w:tcPr>
            <w:tcW w:type="dxa" w:w="23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bCs/>
                <w:sz w:val="16"/>
                <w:szCs w:val="16"/>
              </w:rPr>
              <w:t xml:space="preserve">Irreproducible results</w:t>
            </w:r>
          </w:p>
        </w:tc>
        <w:tc>
          <w:tcPr>
            <w:tcW w:type="dxa" w:w="30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Findings cannot be checked</w:t>
            </w:r>
          </w:p>
        </w:tc>
        <w:tc>
          <w:tcPr>
            <w:tcW w:type="dxa" w:w="2800"/>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Fixed seeds; version logs; configuration files; hashed raw snapshots</w:t>
            </w:r>
          </w:p>
        </w:tc>
        <w:tc>
          <w:tcPr>
            <w:tcW w:type="dxa" w:w="926"/>
            <w:tcBorders>
              <w:top w:val="single" w:color="C9D2DA" w:sz="4"/>
              <w:left w:val="single" w:color="C9D2DA" w:sz="4"/>
              <w:bottom w:val="single" w:color="C9D2DA" w:sz="4"/>
              <w:right w:val="single" w:color="C9D2DA" w:sz="4"/>
            </w:tcBorders>
            <w:tcMar>
              <w:top w:type="dxa" w:w="60"/>
              <w:left w:type="dxa" w:w="100"/>
              <w:bottom w:type="dxa" w:w="60"/>
              <w:right w:type="dxa" w:w="100"/>
            </w:tcMar>
            <w:vAlign w:val="top"/>
          </w:tcPr>
          <w:p>
            <w:pPr>
              <w:keepNext w:val="false"/>
              <w:spacing w:after="40" w:line="252"/>
            </w:pPr>
            <w:r>
              <w:rPr>
                <w:rFonts w:ascii="Arial" w:cs="Arial" w:eastAsia="Arial" w:hAnsi="Arial"/>
                <w:b w:val="false"/>
                <w:bCs w:val="false"/>
                <w:sz w:val="16"/>
                <w:szCs w:val="16"/>
              </w:rPr>
              <w:t xml:space="preserve">R8</w:t>
            </w:r>
          </w:p>
        </w:tc>
      </w:tr>
    </w:tbl>
    <w:p>
      <w:pPr>
        <w:spacing w:after="160"/>
      </w:pPr>
    </w:p>
    <w:p>
      <w:pPr>
        <w:spacing w:after="120" w:line="288"/>
      </w:pPr>
      <w:r>
        <w:rPr>
          <w:rFonts w:ascii="Arial" w:cs="Arial" w:eastAsia="Arial" w:hAnsi="Arial"/>
          <w:b/>
          <w:bCs/>
          <w:sz w:val="21"/>
          <w:szCs w:val="21"/>
        </w:rPr>
        <w:t xml:space="preserve">Principal limitation.</w:t>
      </w:r>
      <w:r>
        <w:rPr>
          <w:rFonts w:ascii="Arial" w:cs="Arial" w:eastAsia="Arial" w:hAnsi="Arial"/>
          <w:sz w:val="21"/>
          <w:szCs w:val="21"/>
        </w:rPr>
        <w:t xml:space="preserve"> Without case-level data the public-data track can explain differences between places and years but not individual service journeys. The record-level track exists to close that gap and depends on departmental approval.</w:t>
      </w:r>
    </w:p>
    <w:p>
      <w:pPr>
        <w:pStyle w:val="Heading1"/>
      </w:pPr>
      <w:r>
        <w:rPr>
          <w:rFonts w:ascii="Arial" w:cs="Arial" w:eastAsia="Arial" w:hAnsi="Arial"/>
        </w:rPr>
        <w:t xml:space="preserve">10. Deliverables</w:t>
      </w:r>
    </w:p>
    <w:p>
      <w:pPr>
        <w:pStyle w:val="ListParagraph"/>
        <w:numPr>
          <w:ilvl w:val="0"/>
          <w:numId w:val="2"/>
        </w:numPr>
        <w:spacing w:after="70" w:line="280"/>
      </w:pPr>
      <w:r>
        <w:rPr>
          <w:rFonts w:ascii="Arial" w:cs="Arial" w:eastAsia="Arial" w:hAnsi="Arial"/>
          <w:sz w:val="21"/>
          <w:szCs w:val="21"/>
        </w:rPr>
        <w:t xml:space="preserve">This methodology document (Word format).</w:t>
      </w:r>
    </w:p>
    <w:p>
      <w:pPr>
        <w:pStyle w:val="ListParagraph"/>
        <w:numPr>
          <w:ilvl w:val="0"/>
          <w:numId w:val="2"/>
        </w:numPr>
        <w:spacing w:after="70" w:line="280"/>
      </w:pPr>
      <w:r>
        <w:rPr>
          <w:rFonts w:ascii="Arial" w:cs="Arial" w:eastAsia="Arial" w:hAnsi="Arial"/>
          <w:sz w:val="21"/>
          <w:szCs w:val="21"/>
        </w:rPr>
        <w:t xml:space="preserve">A reproducible project repository: configuration, split manifests, pipeline code, run logs, hashed snapshot references.</w:t>
      </w:r>
    </w:p>
    <w:p>
      <w:pPr>
        <w:pStyle w:val="ListParagraph"/>
        <w:numPr>
          <w:ilvl w:val="0"/>
          <w:numId w:val="2"/>
        </w:numPr>
        <w:spacing w:after="70" w:line="280"/>
      </w:pPr>
      <w:r>
        <w:rPr>
          <w:rFonts w:ascii="Arial" w:cs="Arial" w:eastAsia="Arial" w:hAnsi="Arial"/>
          <w:sz w:val="21"/>
          <w:szCs w:val="21"/>
        </w:rPr>
        <w:t xml:space="preserve">Analysis notebooks for A1 to A5 with the tables and figures named in Section 8.</w:t>
      </w:r>
    </w:p>
    <w:p>
      <w:pPr>
        <w:pStyle w:val="ListParagraph"/>
        <w:numPr>
          <w:ilvl w:val="0"/>
          <w:numId w:val="2"/>
        </w:numPr>
        <w:spacing w:after="70" w:line="280"/>
      </w:pPr>
      <w:r>
        <w:rPr>
          <w:rFonts w:ascii="Arial" w:cs="Arial" w:eastAsia="Arial" w:hAnsi="Arial"/>
          <w:sz w:val="21"/>
          <w:szCs w:val="21"/>
        </w:rPr>
        <w:t xml:space="preserve">Model cards for each model and a segment-level performance table.</w:t>
      </w:r>
    </w:p>
    <w:p>
      <w:pPr>
        <w:pStyle w:val="ListParagraph"/>
        <w:numPr>
          <w:ilvl w:val="0"/>
          <w:numId w:val="2"/>
        </w:numPr>
        <w:spacing w:after="70" w:line="280"/>
      </w:pPr>
      <w:r>
        <w:rPr>
          <w:rFonts w:ascii="Arial" w:cs="Arial" w:eastAsia="Arial" w:hAnsi="Arial"/>
          <w:sz w:val="21"/>
          <w:szCs w:val="21"/>
        </w:rPr>
        <w:t xml:space="preserve">A findings summary linking results to the actions and KPIs in Section 8.5, ready for the Strategic Plan's roadmap and dashboard.</w:t>
      </w:r>
    </w:p>
    <w:p>
      <w:pPr>
        <w:pStyle w:val="Heading1"/>
      </w:pPr>
      <w:r>
        <w:rPr>
          <w:rFonts w:ascii="Arial" w:cs="Arial" w:eastAsia="Arial" w:hAnsi="Arial"/>
        </w:rPr>
        <w:t xml:space="preserve">References</w:t>
      </w:r>
    </w:p>
    <w:p>
      <w:pPr>
        <w:spacing w:after="70" w:line="264"/>
        <w:ind w:left="400" w:hanging="400"/>
      </w:pPr>
      <w:r>
        <w:rPr>
          <w:rFonts w:ascii="Arial" w:cs="Arial" w:eastAsia="Arial" w:hAnsi="Arial"/>
          <w:sz w:val="18"/>
          <w:szCs w:val="18"/>
        </w:rPr>
        <w:t xml:space="preserve">Amnesty International (2021). Xenophobic Machines: Discrimination through Unregulated Use of Algorithms in the Dutch Childcare Benefits Scandal. London: Amnesty International.</w:t>
      </w:r>
    </w:p>
    <w:p>
      <w:pPr>
        <w:spacing w:after="70" w:line="264"/>
        <w:ind w:left="400" w:hanging="400"/>
      </w:pPr>
      <w:r>
        <w:rPr>
          <w:rFonts w:ascii="Arial" w:cs="Arial" w:eastAsia="Arial" w:hAnsi="Arial"/>
          <w:sz w:val="18"/>
          <w:szCs w:val="18"/>
        </w:rPr>
        <w:t xml:space="preserve">Blei, D. M., Ng, A. Y., and Jordan, M. I. (2003). Latent Dirichlet allocation. Journal of Machine Learning Research, 3, 993–1022.</w:t>
      </w:r>
    </w:p>
    <w:p>
      <w:pPr>
        <w:spacing w:after="70" w:line="264"/>
        <w:ind w:left="400" w:hanging="400"/>
      </w:pPr>
      <w:r>
        <w:rPr>
          <w:rFonts w:ascii="Arial" w:cs="Arial" w:eastAsia="Arial" w:hAnsi="Arial"/>
          <w:sz w:val="18"/>
          <w:szCs w:val="18"/>
        </w:rPr>
        <w:t xml:space="preserve">Breiman, L. (2001). Random forests. Machine Learning, 45(1), 5–32.</w:t>
      </w:r>
    </w:p>
    <w:p>
      <w:pPr>
        <w:spacing w:after="70" w:line="264"/>
        <w:ind w:left="400" w:hanging="400"/>
      </w:pPr>
      <w:r>
        <w:rPr>
          <w:rFonts w:ascii="Arial" w:cs="Arial" w:eastAsia="Arial" w:hAnsi="Arial"/>
          <w:sz w:val="18"/>
          <w:szCs w:val="18"/>
        </w:rPr>
        <w:t xml:space="preserve">Breunig, M. M., Kriegel, H.-P., Ng, R. T., and Sander, J. (2000). LOF: Identifying density-based local outliers. Proceedings of ACM SIGMOD, 93–104.</w:t>
      </w:r>
    </w:p>
    <w:p>
      <w:pPr>
        <w:spacing w:after="70" w:line="264"/>
        <w:ind w:left="400" w:hanging="400"/>
      </w:pPr>
      <w:r>
        <w:rPr>
          <w:rFonts w:ascii="Arial" w:cs="Arial" w:eastAsia="Arial" w:hAnsi="Arial"/>
          <w:sz w:val="18"/>
          <w:szCs w:val="18"/>
        </w:rPr>
        <w:t xml:space="preserve">Campello, R. J. G. B., Moulavi, D., and Sander, J. (2013). Density-based clustering based on hierarchical density estimates. Proceedings of PAKDD, 160–172.</w:t>
      </w:r>
    </w:p>
    <w:p>
      <w:pPr>
        <w:spacing w:after="70" w:line="264"/>
        <w:ind w:left="400" w:hanging="400"/>
      </w:pPr>
      <w:r>
        <w:rPr>
          <w:rFonts w:ascii="Arial" w:cs="Arial" w:eastAsia="Arial" w:hAnsi="Arial"/>
          <w:sz w:val="18"/>
          <w:szCs w:val="18"/>
        </w:rPr>
        <w:t xml:space="preserve">Cawley, G. C., and Talbot, N. L. C. (2010). On over-fitting in model selection and subsequent selection bias in performance evaluation. Journal of Machine Learning Research, 11, 2079–2107.</w:t>
      </w:r>
    </w:p>
    <w:p>
      <w:pPr>
        <w:spacing w:after="70" w:line="264"/>
        <w:ind w:left="400" w:hanging="400"/>
      </w:pPr>
      <w:r>
        <w:rPr>
          <w:rFonts w:ascii="Arial" w:cs="Arial" w:eastAsia="Arial" w:hAnsi="Arial"/>
          <w:sz w:val="18"/>
          <w:szCs w:val="18"/>
        </w:rPr>
        <w:t xml:space="preserve">Chen, T., and Guestrin, C. (2016). XGBoost: A scalable tree boosting system. Proceedings of ACM KDD, 785–794.</w:t>
      </w:r>
    </w:p>
    <w:p>
      <w:pPr>
        <w:spacing w:after="70" w:line="264"/>
        <w:ind w:left="400" w:hanging="400"/>
      </w:pPr>
      <w:r>
        <w:rPr>
          <w:rFonts w:ascii="Arial" w:cs="Arial" w:eastAsia="Arial" w:hAnsi="Arial"/>
          <w:sz w:val="18"/>
          <w:szCs w:val="18"/>
        </w:rPr>
        <w:t xml:space="preserve">Cox, D. R. (1972). Regression models and life-tables. Journal of the Royal Statistical Society, Series B, 34(2), 187–220.</w:t>
      </w:r>
    </w:p>
    <w:p>
      <w:pPr>
        <w:spacing w:after="70" w:line="264"/>
        <w:ind w:left="400" w:hanging="400"/>
      </w:pPr>
      <w:r>
        <w:rPr>
          <w:rFonts w:ascii="Arial" w:cs="Arial" w:eastAsia="Arial" w:hAnsi="Arial"/>
          <w:sz w:val="18"/>
          <w:szCs w:val="18"/>
        </w:rPr>
        <w:t xml:space="preserve">Davidson-Pilon, C. (2019). lifelines: survival analysis in Python. Journal of Open Source Software, 4(40), 1317.</w:t>
      </w:r>
    </w:p>
    <w:p>
      <w:pPr>
        <w:spacing w:after="70" w:line="264"/>
        <w:ind w:left="400" w:hanging="400"/>
      </w:pPr>
      <w:r>
        <w:rPr>
          <w:rFonts w:ascii="Arial" w:cs="Arial" w:eastAsia="Arial" w:hAnsi="Arial"/>
          <w:sz w:val="18"/>
          <w:szCs w:val="18"/>
        </w:rPr>
        <w:t xml:space="preserve">Devlin, J., Chang, M.-W., Lee, K., and Toutanova, K. (2019). BERT: Pre-training of deep bidirectional transformers for language understanding. Proceedings of NAACL-HLT, 4171–4186.</w:t>
      </w:r>
    </w:p>
    <w:p>
      <w:pPr>
        <w:spacing w:after="70" w:line="264"/>
        <w:ind w:left="400" w:hanging="400"/>
      </w:pPr>
      <w:r>
        <w:rPr>
          <w:rFonts w:ascii="Arial" w:cs="Arial" w:eastAsia="Arial" w:hAnsi="Arial"/>
          <w:sz w:val="18"/>
          <w:szCs w:val="18"/>
        </w:rPr>
        <w:t xml:space="preserve">Ester, M., Kriegel, H.-P., Sander, J., and Xu, X. (1996). A density-based algorithm for discovering clusters in large spatial databases with noise. Proceedings of KDD-96, 226–231.</w:t>
      </w:r>
    </w:p>
    <w:p>
      <w:pPr>
        <w:spacing w:after="70" w:line="264"/>
        <w:ind w:left="400" w:hanging="400"/>
      </w:pPr>
      <w:r>
        <w:rPr>
          <w:rFonts w:ascii="Arial" w:cs="Arial" w:eastAsia="Arial" w:hAnsi="Arial"/>
          <w:sz w:val="18"/>
          <w:szCs w:val="18"/>
        </w:rPr>
        <w:t xml:space="preserve">Eubanks, V. (2018). Automating Inequality: How High-Tech Tools Profile, Police, and Punish the Poor. New York: St Martin's Press.</w:t>
      </w:r>
    </w:p>
    <w:p>
      <w:pPr>
        <w:spacing w:after="70" w:line="264"/>
        <w:ind w:left="400" w:hanging="400"/>
      </w:pPr>
      <w:r>
        <w:rPr>
          <w:rFonts w:ascii="Arial" w:cs="Arial" w:eastAsia="Arial" w:hAnsi="Arial"/>
          <w:sz w:val="18"/>
          <w:szCs w:val="18"/>
        </w:rPr>
        <w:t xml:space="preserve">Grinsztajn, L., Oyallon, E., and Varoquaux, G. (2022). Why do tree-based models still outperform deep learning on typical tabular data? Advances in Neural Information Processing Systems (Datasets and Benchmarks Track), 35.</w:t>
      </w:r>
    </w:p>
    <w:p>
      <w:pPr>
        <w:spacing w:after="70" w:line="264"/>
        <w:ind w:left="400" w:hanging="400"/>
      </w:pPr>
      <w:r>
        <w:rPr>
          <w:rFonts w:ascii="Arial" w:cs="Arial" w:eastAsia="Arial" w:hAnsi="Arial"/>
          <w:sz w:val="18"/>
          <w:szCs w:val="18"/>
        </w:rPr>
        <w:t xml:space="preserve">Grootendorst, M. (2022). BERTopic: Neural topic modeling with a class-based TF-IDF procedure. arXiv:2203.05794.</w:t>
      </w:r>
    </w:p>
    <w:p>
      <w:pPr>
        <w:spacing w:after="70" w:line="264"/>
        <w:ind w:left="400" w:hanging="400"/>
      </w:pPr>
      <w:r>
        <w:rPr>
          <w:rFonts w:ascii="Arial" w:cs="Arial" w:eastAsia="Arial" w:hAnsi="Arial"/>
          <w:sz w:val="18"/>
          <w:szCs w:val="18"/>
        </w:rPr>
        <w:t xml:space="preserve">Hardt, M., Price, E., and Srebro, N. (2016). Equality of opportunity in supervised learning. Advances in Neural Information Processing Systems, 29.</w:t>
      </w:r>
    </w:p>
    <w:p>
      <w:pPr>
        <w:spacing w:after="70" w:line="264"/>
        <w:ind w:left="400" w:hanging="400"/>
      </w:pPr>
      <w:r>
        <w:rPr>
          <w:rFonts w:ascii="Arial" w:cs="Arial" w:eastAsia="Arial" w:hAnsi="Arial"/>
          <w:sz w:val="18"/>
          <w:szCs w:val="18"/>
        </w:rPr>
        <w:t xml:space="preserve">Hastie, T., Tibshirani, R., and Friedman, J. (2009). The Elements of Statistical Learning, 2nd ed. New York: Springer.</w:t>
      </w:r>
    </w:p>
    <w:p>
      <w:pPr>
        <w:spacing w:after="70" w:line="264"/>
        <w:ind w:left="400" w:hanging="400"/>
      </w:pPr>
      <w:r>
        <w:rPr>
          <w:rFonts w:ascii="Arial" w:cs="Arial" w:eastAsia="Arial" w:hAnsi="Arial"/>
          <w:sz w:val="18"/>
          <w:szCs w:val="18"/>
        </w:rPr>
        <w:t xml:space="preserve">Hoerl, A. E., and Kennard, R. W. (1970). Ridge regression: Biased estimation for nonorthogonal problems. Technometrics, 12(1), 55–67.</w:t>
      </w:r>
    </w:p>
    <w:p>
      <w:pPr>
        <w:spacing w:after="70" w:line="264"/>
        <w:ind w:left="400" w:hanging="400"/>
      </w:pPr>
      <w:r>
        <w:rPr>
          <w:rFonts w:ascii="Arial" w:cs="Arial" w:eastAsia="Arial" w:hAnsi="Arial"/>
          <w:sz w:val="18"/>
          <w:szCs w:val="18"/>
        </w:rPr>
        <w:t xml:space="preserve">Hyndman, R. J., and Athanasopoulos, G. (2021). Forecasting: Principles and Practice, 3rd ed. Melbourne: OTexts.</w:t>
      </w:r>
    </w:p>
    <w:p>
      <w:pPr>
        <w:spacing w:after="70" w:line="264"/>
        <w:ind w:left="400" w:hanging="400"/>
      </w:pPr>
      <w:r>
        <w:rPr>
          <w:rFonts w:ascii="Arial" w:cs="Arial" w:eastAsia="Arial" w:hAnsi="Arial"/>
          <w:sz w:val="18"/>
          <w:szCs w:val="18"/>
        </w:rPr>
        <w:t xml:space="preserve">Hyndman, R. J., and Koehler, A. B. (2006). Another look at measures of forecast accuracy. International Journal of Forecasting, 22(4), 679–688.</w:t>
      </w:r>
    </w:p>
    <w:p>
      <w:pPr>
        <w:spacing w:after="70" w:line="264"/>
        <w:ind w:left="400" w:hanging="400"/>
      </w:pPr>
      <w:r>
        <w:rPr>
          <w:rFonts w:ascii="Arial" w:cs="Arial" w:eastAsia="Arial" w:hAnsi="Arial"/>
          <w:sz w:val="18"/>
          <w:szCs w:val="18"/>
        </w:rPr>
        <w:t xml:space="preserve">Kaplan, E. L., and Meier, P. (1958). Nonparametric estimation from incomplete observations. Journal of the American Statistical Association, 53(282), 457–481.</w:t>
      </w:r>
    </w:p>
    <w:p>
      <w:pPr>
        <w:spacing w:after="70" w:line="264"/>
        <w:ind w:left="400" w:hanging="400"/>
      </w:pPr>
      <w:r>
        <w:rPr>
          <w:rFonts w:ascii="Arial" w:cs="Arial" w:eastAsia="Arial" w:hAnsi="Arial"/>
          <w:sz w:val="18"/>
          <w:szCs w:val="18"/>
        </w:rPr>
        <w:t xml:space="preserve">Ke, G., et al. (2017). LightGBM: A highly efficient gradient boosting decision tree. Advances in Neural Information Processing Systems, 30.</w:t>
      </w:r>
    </w:p>
    <w:p>
      <w:pPr>
        <w:spacing w:after="70" w:line="264"/>
        <w:ind w:left="400" w:hanging="400"/>
      </w:pPr>
      <w:r>
        <w:rPr>
          <w:rFonts w:ascii="Arial" w:cs="Arial" w:eastAsia="Arial" w:hAnsi="Arial"/>
          <w:sz w:val="18"/>
          <w:szCs w:val="18"/>
        </w:rPr>
        <w:t xml:space="preserve">Khanuja, S., et al. (2021). MuRIL: Multilingual representations for Indian languages. arXiv:2103.10730.</w:t>
      </w:r>
    </w:p>
    <w:p>
      <w:pPr>
        <w:spacing w:after="70" w:line="264"/>
        <w:ind w:left="400" w:hanging="400"/>
      </w:pPr>
      <w:r>
        <w:rPr>
          <w:rFonts w:ascii="Arial" w:cs="Arial" w:eastAsia="Arial" w:hAnsi="Arial"/>
          <w:sz w:val="18"/>
          <w:szCs w:val="18"/>
        </w:rPr>
        <w:t xml:space="preserve">Liu, F. T., Ting, K. M., and Zhou, Z.-H. (2008). Isolation forest. Proceedings of IEEE ICDM, 413–422.</w:t>
      </w:r>
    </w:p>
    <w:p>
      <w:pPr>
        <w:spacing w:after="70" w:line="264"/>
        <w:ind w:left="400" w:hanging="400"/>
      </w:pPr>
      <w:r>
        <w:rPr>
          <w:rFonts w:ascii="Arial" w:cs="Arial" w:eastAsia="Arial" w:hAnsi="Arial"/>
          <w:sz w:val="18"/>
          <w:szCs w:val="18"/>
        </w:rPr>
        <w:t xml:space="preserve">Lloyd, S. P. (1982). Least squares quantization in PCM. IEEE Transactions on Information Theory, 28(2), 129–137.</w:t>
      </w:r>
    </w:p>
    <w:p>
      <w:pPr>
        <w:spacing w:after="70" w:line="264"/>
        <w:ind w:left="400" w:hanging="400"/>
      </w:pPr>
      <w:r>
        <w:rPr>
          <w:rFonts w:ascii="Arial" w:cs="Arial" w:eastAsia="Arial" w:hAnsi="Arial"/>
          <w:sz w:val="18"/>
          <w:szCs w:val="18"/>
        </w:rPr>
        <w:t xml:space="preserve">Lundberg, S. M., and Lee, S.-I. (2017). A unified approach to interpreting model predictions. Advances in Neural Information Processing Systems, 30.</w:t>
      </w:r>
    </w:p>
    <w:p>
      <w:pPr>
        <w:spacing w:after="70" w:line="264"/>
        <w:ind w:left="400" w:hanging="400"/>
      </w:pPr>
      <w:r>
        <w:rPr>
          <w:rFonts w:ascii="Arial" w:cs="Arial" w:eastAsia="Arial" w:hAnsi="Arial"/>
          <w:sz w:val="18"/>
          <w:szCs w:val="18"/>
        </w:rPr>
        <w:t xml:space="preserve">Mehrabi, N., Morstatter, F., Saxena, N., Lerman, K., and Galstyan, A. (2021). A survey on bias and fairness in machine learning. ACM Computing Surveys, 54(6), Article 115.</w:t>
      </w:r>
    </w:p>
    <w:p>
      <w:pPr>
        <w:spacing w:after="70" w:line="264"/>
        <w:ind w:left="400" w:hanging="400"/>
      </w:pPr>
      <w:r>
        <w:rPr>
          <w:rFonts w:ascii="Arial" w:cs="Arial" w:eastAsia="Arial" w:hAnsi="Arial"/>
          <w:sz w:val="18"/>
          <w:szCs w:val="18"/>
        </w:rPr>
        <w:t xml:space="preserve">Nadeau, C., and Bengio, Y. (2003). Inference for the generalization error. Machine Learning, 52, 239–281.</w:t>
      </w:r>
    </w:p>
    <w:p>
      <w:pPr>
        <w:spacing w:after="70" w:line="264"/>
        <w:ind w:left="400" w:hanging="400"/>
      </w:pPr>
      <w:r>
        <w:rPr>
          <w:rFonts w:ascii="Arial" w:cs="Arial" w:eastAsia="Arial" w:hAnsi="Arial"/>
          <w:sz w:val="18"/>
          <w:szCs w:val="18"/>
        </w:rPr>
        <w:t xml:space="preserve">Obermeyer, Z., Powers, B., Vogeli, C., and Mullainathan, S. (2019). Dissecting racial bias in an algorithm used to manage the health of populations. Science, 366(6464), 447–453.</w:t>
      </w:r>
    </w:p>
    <w:p>
      <w:pPr>
        <w:spacing w:after="70" w:line="264"/>
        <w:ind w:left="400" w:hanging="400"/>
      </w:pPr>
      <w:r>
        <w:rPr>
          <w:rFonts w:ascii="Arial" w:cs="Arial" w:eastAsia="Arial" w:hAnsi="Arial"/>
          <w:sz w:val="18"/>
          <w:szCs w:val="18"/>
        </w:rPr>
        <w:t xml:space="preserve">Royal Commission into the Robodebt Scheme (2023). Report. Canberra: Commonwealth of Australia.</w:t>
      </w:r>
    </w:p>
    <w:p>
      <w:pPr>
        <w:spacing w:after="70" w:line="264"/>
        <w:ind w:left="400" w:hanging="400"/>
      </w:pPr>
      <w:r>
        <w:rPr>
          <w:rFonts w:ascii="Arial" w:cs="Arial" w:eastAsia="Arial" w:hAnsi="Arial"/>
          <w:sz w:val="18"/>
          <w:szCs w:val="18"/>
        </w:rPr>
        <w:t xml:space="preserve">Rousseeuw, P. J. (1987). Silhouettes: A graphical aid to the interpretation and validation of cluster analysis. Journal of Computational and Applied Mathematics, 20, 53–65.</w:t>
      </w:r>
    </w:p>
    <w:p>
      <w:pPr>
        <w:spacing w:after="70" w:line="264"/>
        <w:ind w:left="400" w:hanging="400"/>
      </w:pPr>
      <w:r>
        <w:rPr>
          <w:rFonts w:ascii="Arial" w:cs="Arial" w:eastAsia="Arial" w:hAnsi="Arial"/>
          <w:sz w:val="18"/>
          <w:szCs w:val="18"/>
        </w:rPr>
        <w:t xml:space="preserve">Taylor, S. J., and Letham, B. (2018). Forecasting at scale. The American Statistician, 72(1), 37–45.</w:t>
      </w:r>
    </w:p>
    <w:p>
      <w:pPr>
        <w:spacing w:after="70" w:line="264"/>
        <w:ind w:left="400" w:hanging="400"/>
      </w:pPr>
      <w:r>
        <w:rPr>
          <w:rFonts w:ascii="Arial" w:cs="Arial" w:eastAsia="Arial" w:hAnsi="Arial"/>
          <w:sz w:val="18"/>
          <w:szCs w:val="18"/>
        </w:rPr>
        <w:t xml:space="preserve">Tibshirani, R. (1996). Regression shrinkage and selection via the lasso. Journal of the Royal Statistical Society, Series B, 58(1), 267–288.</w:t>
      </w:r>
    </w:p>
    <w:p>
      <w:pPr>
        <w:spacing w:after="70" w:line="264"/>
        <w:ind w:left="400" w:hanging="400"/>
      </w:pPr>
      <w:r>
        <w:rPr>
          <w:rFonts w:ascii="Arial" w:cs="Arial" w:eastAsia="Arial" w:hAnsi="Arial"/>
          <w:sz w:val="18"/>
          <w:szCs w:val="18"/>
        </w:rPr>
        <w:t xml:space="preserve">Tibshirani, R., Walther, G., and Hastie, T. (2001). Estimating the number of clusters in a data set via the gap statistic. Journal of the Royal Statistical Society, Series B, 63(2), 411–423.</w:t>
      </w:r>
    </w:p>
    <w:p>
      <w:pPr>
        <w:spacing w:after="70" w:line="264"/>
        <w:ind w:left="400" w:hanging="400"/>
      </w:pPr>
      <w:r>
        <w:rPr>
          <w:rFonts w:ascii="Arial" w:cs="Arial" w:eastAsia="Arial" w:hAnsi="Arial"/>
          <w:sz w:val="18"/>
          <w:szCs w:val="18"/>
        </w:rPr>
        <w:t xml:space="preserve">United Nations Department of Economic and Social Affairs (2024). E-Government Survey 2024: Accelerating Digital Transformation for Sustainable Development. New York: United Nations.</w:t>
      </w:r>
    </w:p>
    <w:p>
      <w:pPr>
        <w:spacing w:after="70" w:line="264"/>
        <w:ind w:left="400" w:hanging="400"/>
      </w:pPr>
      <w:r>
        <w:rPr>
          <w:rFonts w:ascii="Arial" w:cs="Arial" w:eastAsia="Arial" w:hAnsi="Arial"/>
          <w:sz w:val="18"/>
          <w:szCs w:val="18"/>
        </w:rPr>
        <w:t xml:space="preserve">Varma, S., and Simon, R. (2006). Bias in error estimation when using cross-validation for model selection. BMC Bioinformatics, 7, 91.</w:t>
      </w:r>
    </w:p>
    <w:p>
      <w:pPr>
        <w:spacing w:after="70" w:line="264"/>
        <w:ind w:left="400" w:hanging="400"/>
      </w:pPr>
      <w:r>
        <w:rPr>
          <w:rFonts w:ascii="Arial" w:cs="Arial" w:eastAsia="Arial" w:hAnsi="Arial"/>
          <w:sz w:val="18"/>
          <w:szCs w:val="18"/>
        </w:rPr>
        <w:t xml:space="preserve">Ward, J. H. (1963). Hierarchical grouping to optimize an objective function. Journal of the American Statistical Association, 58(301), 236–244.</w:t>
      </w:r>
    </w:p>
    <w:p>
      <w:pPr>
        <w:spacing w:after="70" w:line="264"/>
        <w:ind w:left="400" w:hanging="400"/>
      </w:pPr>
      <w:r>
        <w:rPr>
          <w:rFonts w:ascii="Arial" w:cs="Arial" w:eastAsia="Arial" w:hAnsi="Arial"/>
          <w:sz w:val="18"/>
          <w:szCs w:val="18"/>
        </w:rPr>
        <w:t xml:space="preserve">Zou, H., and Hastie, T. (2005). Regularization and variable selection via the elastic net. Journal of the Royal Statistical Society, Series B, 67(2), 301–320.</w:t>
      </w:r>
    </w:p>
    <w:p>
      <w:pPr>
        <w:pStyle w:val="Heading3"/>
      </w:pPr>
      <w:r>
        <w:rPr>
          <w:rFonts w:ascii="Arial" w:cs="Arial" w:eastAsia="Arial" w:hAnsi="Arial"/>
        </w:rPr>
        <w:t xml:space="preserve">Official and web sources (accessed 10 October 2026)</w:t>
      </w:r>
    </w:p>
    <w:p>
      <w:pPr>
        <w:spacing w:after="70" w:line="264"/>
        <w:ind w:left="400" w:hanging="400"/>
      </w:pPr>
      <w:r>
        <w:rPr>
          <w:rFonts w:ascii="Arial" w:cs="Arial" w:eastAsia="Arial" w:hAnsi="Arial"/>
          <w:sz w:val="18"/>
          <w:szCs w:val="18"/>
        </w:rPr>
        <w:t xml:space="preserve">UN DESA, E-Government Knowledgebase, Country Data for India (EGDI values and ranks 2003 to 2024): publicadministration.un.org/egovkb</w:t>
      </w:r>
    </w:p>
    <w:p>
      <w:pPr>
        <w:spacing w:after="70" w:line="264"/>
        <w:ind w:left="400" w:hanging="400"/>
      </w:pPr>
      <w:r>
        <w:rPr>
          <w:rFonts w:ascii="Arial" w:cs="Arial" w:eastAsia="Arial" w:hAnsi="Arial"/>
          <w:sz w:val="18"/>
          <w:szCs w:val="18"/>
        </w:rPr>
        <w:t xml:space="preserve">UN DESA, Local Online Service Index, City Data (expansion of LOSI from 40 cities in 2018 to 193 in 2022): publicadministration.un.org/egovkb</w:t>
      </w:r>
    </w:p>
    <w:p>
      <w:pPr>
        <w:spacing w:after="70" w:line="264"/>
        <w:ind w:left="400" w:hanging="400"/>
      </w:pPr>
      <w:r>
        <w:rPr>
          <w:rFonts w:ascii="Arial" w:cs="Arial" w:eastAsia="Arial" w:hAnsi="Arial"/>
          <w:sz w:val="18"/>
          <w:szCs w:val="18"/>
        </w:rPr>
        <w:t xml:space="preserve">DARPG, CPGRAMS portal, About Us (IGMS and AI/ML analysis of grievances): pgportal.gov.in/Home/AboutUs</w:t>
      </w:r>
    </w:p>
    <w:p>
      <w:pPr>
        <w:spacing w:after="70" w:line="264"/>
        <w:ind w:left="400" w:hanging="400"/>
      </w:pPr>
      <w:r>
        <w:rPr>
          <w:rFonts w:ascii="Arial" w:cs="Arial" w:eastAsia="Arial" w:hAnsi="Arial"/>
          <w:sz w:val="18"/>
          <w:szCs w:val="18"/>
        </w:rPr>
        <w:t xml:space="preserve">IIT Kanpur, Intelligent Grievance Monitoring System (IGMS) 2.0 launch note: iitk.ac.in</w:t>
      </w:r>
    </w:p>
    <w:p>
      <w:pPr>
        <w:spacing w:after="70" w:line="264"/>
        <w:ind w:left="400" w:hanging="400"/>
      </w:pPr>
      <w:r>
        <w:rPr>
          <w:rFonts w:ascii="Arial" w:cs="Arial" w:eastAsia="Arial" w:hAnsi="Arial"/>
          <w:sz w:val="18"/>
          <w:szCs w:val="18"/>
        </w:rPr>
        <w:t xml:space="preserve">IndiaAI and Press Information Bureau coverage of the Ministry of Defence AI-powered grievance management application (agreement of 4 August 2020): indiaai.gov.in</w:t>
      </w:r>
    </w:p>
    <w:p>
      <w:pPr>
        <w:spacing w:after="70" w:line="264"/>
        <w:ind w:left="400" w:hanging="400"/>
      </w:pPr>
      <w:r>
        <w:rPr>
          <w:rFonts w:ascii="Arial" w:cs="Arial" w:eastAsia="Arial" w:hAnsi="Arial"/>
          <w:sz w:val="18"/>
          <w:szCs w:val="18"/>
        </w:rPr>
        <w:t xml:space="preserve">Companion documents: Strategic Plan and Analytical Framework (v1.0, September 2026); Data Acquisition and Transformation Plan (v1.0, 4 October 2026); Data Preparation Guide.</w:t>
      </w:r>
    </w:p>
    <w:p>
      <w:pPr>
        <w:spacing w:after="120" w:line="288"/>
      </w:pPr>
      <w:r>
        <w:rPr>
          <w:rFonts w:ascii="Arial" w:cs="Arial" w:eastAsia="Arial" w:hAnsi="Arial"/>
          <w:i/>
          <w:iCs/>
          <w:color w:val="5B6770"/>
          <w:sz w:val="17"/>
          <w:szCs w:val="17"/>
        </w:rPr>
        <w:t xml:space="preserve">Note: Indian official sources and UN index values were checked against published pages during preparation. Confirm bibliographic details of academic references against the originals before formal submission.</w:t>
      </w:r>
    </w:p>
    <w:sectPr>
      <w:headerReference w:type="default" r:id="rId7"/>
      <w:footerReference w:type="default" r:id="rId8"/>
      <w:pgSz w:w="11906" w:h="16838" w:orient="portrait"/>
      <w:pgMar w:top="1300" w:right="1440" w:bottom="1200" w:left="1440"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6"/>
        <w:szCs w:val="16"/>
      </w:rPr>
      <w:t xml:space="preserve">Page </w:t>
    </w:r>
    <w:r>
      <w:rPr>
        <w:rFonts w:ascii="Arial" w:cs="Arial" w:eastAsia="Arial" w:hAnsi="Arial"/>
        <w:color w:val="5B6770"/>
        <w:sz w:val="16"/>
        <w:szCs w:val="16"/>
      </w:rPr>
      <w:fldChar w:fldCharType="begin"/>
      <w:instrText xml:space="preserve">PAGE</w:instrText>
      <w:fldChar w:fldCharType="separate"/>
      <w:fldChar w:fldCharType="end"/>
    </w:r>
    <w:r>
      <w:rPr>
        <w:rFonts w:ascii="Arial" w:cs="Arial" w:eastAsia="Arial" w:hAnsi="Arial"/>
        <w:color w:val="5B6770"/>
        <w:sz w:val="16"/>
        <w:szCs w:val="16"/>
      </w:rPr>
      <w:t xml:space="preserve"> of </w:t>
    </w:r>
    <w:r>
      <w:rPr>
        <w:rFonts w:ascii="Arial" w:cs="Arial" w:eastAsia="Arial" w:hAnsi="Arial"/>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spacing w:after="0"/>
    </w:pPr>
    <w:r>
      <w:rPr>
        <w:rFonts w:ascii="Arial" w:cs="Arial" w:eastAsia="Arial" w:hAnsi="Arial"/>
        <w:color w:val="5B6770"/>
        <w:sz w:val="16"/>
        <w:szCs w:val="16"/>
      </w:rPr>
      <w:t xml:space="preserve">Advanced Data Analysis of Public E-Governance Data  |  Methodology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2DA" w:sz="6" w:space="3"/>
      </w:pBdr>
      <w:spacing w:after="140" w:before="36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00" w:before="260"/>
      <w:outlineLvl w:val="1"/>
    </w:pPr>
    <w:rPr>
      <w:rFonts w:ascii="Arial" w:cs="Arial" w:eastAsia="Arial" w:hAnsi="Arial"/>
      <w:b/>
      <w:bCs/>
      <w:color w:val="2A7F8E"/>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c5de6987dbe7caecddb0b0a6e057b83dd20fcb.png"/><Relationship Id="rId10" Type="http://schemas.openxmlformats.org/officeDocument/2006/relationships/image" Target="media/a6acc6e12a1b579369eaad8c623d21dd3d17003c.png"/><Relationship Id="rId11" Type="http://schemas.openxmlformats.org/officeDocument/2006/relationships/image" Target="media/f55516210403a558f88d719f71f636c52b92582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Analysis of Public E-Governance and Digital Services Data</dc:title>
  <dc:creator>Analysis team</dc:creator>
  <cp:lastModifiedBy>Un-named</cp:lastModifiedBy>
  <cp:revision>1</cp:revision>
  <dcterms:created xsi:type="dcterms:W3CDTF">2026-10-10T16:01:59.624Z</dcterms:created>
  <dcterms:modified xsi:type="dcterms:W3CDTF">2026-10-10T16:01:59.625Z</dcterms:modified>
</cp:coreProperties>
</file>

<file path=docProps/custom.xml><?xml version="1.0" encoding="utf-8"?>
<Properties xmlns="http://schemas.openxmlformats.org/officeDocument/2006/custom-properties" xmlns:vt="http://schemas.openxmlformats.org/officeDocument/2006/docPropsVTypes"/>
</file>