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3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September 28, 2023</w:t>
      </w:r>
    </w:p>
    <w:p>
      <w:pPr>
        <w:pStyle w:val="Normal"/>
        <w:spacing w:beforeAutospacing="1" w:afterAutospacing="1"/>
        <w:rPr>
          <w:b/>
          <w:b/>
          <w:sz w:val="28"/>
          <w:szCs w:val="28"/>
        </w:rPr>
      </w:pPr>
      <w:r>
        <w:rPr>
          <w:b/>
          <w:sz w:val="28"/>
          <w:szCs w:val="28"/>
        </w:rPr>
        <w:t xml:space="preserve">Student: </w:t>
      </w:r>
      <w:r>
        <w:rPr>
          <w:b/>
          <w:sz w:val="28"/>
          <w:szCs w:val="28"/>
        </w:rPr>
        <w:t>Chetan Hiremath</w:t>
      </w:r>
    </w:p>
    <w:p>
      <w:pPr>
        <w:pStyle w:val="Normal"/>
        <w:spacing w:beforeAutospacing="1" w:afterAutospacing="1"/>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zip file: FirstnameLastname_Assignment3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Name of the Assignment folder within the zip file: FirstnameLastname_Assignment3.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rPr>
              <w:t>Copy of Rubric 3.docx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Python source code for CompareMLModelsV2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Screen print showing the successful execution of CompareMLModelsV2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Running CompareMLModelsV2 produces the correct confusion matrices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The values in the 12 confusion tables each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4a is correct based on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2</w:t>
            </w:r>
            <w:r>
              <w:rPr>
                <w:rFonts w:cs="Calibri" w:cstheme="minorHAnsi"/>
                <w:color w:val="000000"/>
                <w:vertAlign w:val="superscript"/>
              </w:rPr>
              <w:t>nd</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3</w:t>
            </w:r>
            <w:r>
              <w:rPr>
                <w:rFonts w:cs="Calibri" w:cstheme="minorHAnsi"/>
                <w:color w:val="000000"/>
                <w:vertAlign w:val="superscript"/>
              </w:rPr>
              <w:t>rd</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4</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5</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6</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7</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8</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9</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10</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11</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12</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Python source code for Dbn.py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Screen print showing the successful execution of dbn.py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Running Dbn.py produces the same output as shown in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Answers to 7a – 7h are correct.</w:t>
            </w:r>
          </w:p>
        </w:tc>
      </w:tr>
      <w:tr>
        <w:trPr/>
        <w:tc>
          <w:tcPr>
            <w:tcW w:w="1666" w:type="dxa"/>
            <w:tcBorders>
              <w:top w:val="single" w:sz="2" w:space="0" w:color="000000"/>
              <w:left w:val="single" w:sz="2" w:space="0" w:color="000000"/>
              <w:bottom w:val="double" w:sz="4"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bottom"/>
          </w:tcPr>
          <w:p>
            <w:pPr>
              <w:pStyle w:val="Normal"/>
              <w:widowControl w:val="false"/>
              <w:spacing w:before="0" w:after="0"/>
              <w:rPr>
                <w:rStyle w:val="Fnt0"/>
                <w:rFonts w:cs="Calibri" w:cstheme="minorHAnsi"/>
              </w:rPr>
            </w:pPr>
            <w:r>
              <w:rPr>
                <w:rFonts w:cs="Calibri"/>
                <w:color w:val="000000"/>
              </w:rPr>
              <w:t>Software for Part 1 is adequately commented. Part 2 does not have to be commented.</w:t>
            </w:r>
            <w:bookmarkStart w:id="0" w:name="_GoBack"/>
            <w:bookmarkEnd w:id="0"/>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b406d1"/>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3</Pages>
  <Words>725</Words>
  <Characters>3443</Characters>
  <CharactersWithSpaces>4054</CharactersWithSpaces>
  <Paragraphs>96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2022-09-10T19:17:00Z</dcterms:created>
  <dc:creator>Johnson, David Orville</dc:creator>
  <dc:description/>
  <dc:language>en-US</dc:language>
  <cp:lastModifiedBy/>
  <dcterms:modified xsi:type="dcterms:W3CDTF">2023-09-25T15:26:07Z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