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left"/>
      </w:pPr>
      <w:r>
        <w:rPr>
          <w:b/>
          <w:bCs/>
          <w:color w:val="1F4E5C"/>
          <w:sz w:val="24"/>
          <w:szCs w:val="24"/>
        </w:rPr>
        <w:t xml:space="preserve">PRODUCT REQUIREMENTS DOCUMENT</w:t>
      </w:r>
    </w:p>
    <w:p>
      <w:pPr>
        <w:spacing w:after="0" w:before="240"/>
      </w:pPr>
      <w:r>
        <w:rPr>
          <w:b/>
          <w:bCs/>
          <w:sz w:val="56"/>
          <w:szCs w:val="56"/>
        </w:rPr>
        <w:t xml:space="preserve">Agentic Underwriting Copilot</w:t>
      </w:r>
    </w:p>
    <w:p>
      <w:pPr>
        <w:spacing w:after="480" w:before="80"/>
      </w:pPr>
      <w:r>
        <w:rPr>
          <w:i/>
          <w:iCs/>
          <w:color w:val="1F4E5C"/>
          <w:sz w:val="32"/>
          <w:szCs w:val="32"/>
        </w:rPr>
        <w:t xml:space="preserve">for Halcyon Credit</w:t>
      </w:r>
    </w:p>
    <w:p>
      <w:pPr>
        <w:pBdr>
          <w:bottom w:val="single" w:color="1F4E5C" w:sz="8" w:space="1"/>
        </w:pBdr>
        <w:spacing w:after="4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Document Owner:  </w:t>
      </w:r>
      <w:r>
        <w:rPr>
          <w:sz w:val="22"/>
          <w:szCs w:val="22"/>
        </w:rPr>
        <w:t xml:space="preserve">Anirudh — AI Engineering Squad Lead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Client / Persona:  </w:t>
      </w:r>
      <w:r>
        <w:rPr>
          <w:sz w:val="22"/>
          <w:szCs w:val="22"/>
        </w:rPr>
        <w:t xml:space="preserve">Halcyon Credit (fictional digital consumer lender)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Engagement:  </w:t>
      </w:r>
      <w:r>
        <w:rPr>
          <w:sz w:val="22"/>
          <w:szCs w:val="22"/>
        </w:rPr>
        <w:t xml:space="preserve">Futurense AI Clinic — Capstone Project 02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Version:  </w:t>
      </w:r>
      <w:r>
        <w:rPr>
          <w:sz w:val="22"/>
          <w:szCs w:val="22"/>
        </w:rPr>
        <w:t xml:space="preserve">v1.0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Status:  </w:t>
      </w:r>
      <w:r>
        <w:rPr>
          <w:sz w:val="22"/>
          <w:szCs w:val="22"/>
        </w:rPr>
        <w:t xml:space="preserve">Draft for Sprint 0 Review — Approved metrics pending baseline confirmation</w:t>
      </w:r>
    </w:p>
    <w:p>
      <w:pPr>
        <w:spacing w:after="600"/>
      </w:pPr>
      <w:r>
        <w:rPr>
          <w:b/>
          <w:bCs/>
          <w:sz w:val="22"/>
          <w:szCs w:val="22"/>
        </w:rPr>
        <w:t xml:space="preserve">Date:  </w:t>
      </w:r>
      <w:r>
        <w:rPr>
          <w:sz w:val="22"/>
          <w:szCs w:val="22"/>
        </w:rPr>
        <w:t xml:space="preserve">16 June 2026</w:t>
      </w:r>
    </w:p>
    <w:p>
      <w:pPr>
        <w:spacing w:after="0"/>
      </w:pPr>
      <w:r>
        <w:rPr>
          <w:i/>
          <w:iCs/>
          <w:color w:val="595959"/>
          <w:sz w:val="22"/>
          <w:szCs w:val="22"/>
        </w:rPr>
        <w:t xml:space="preserve">“A copilot that assembles the file, reasons through the risk step by step, checks itself against policy and fairness, and hands the underwriter a clear, evidence-backed recommendation — trustworthy, auditable, and run inside a budget.”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Problem Statement</w:t>
      </w:r>
    </w:p>
    <w:p>
      <w:pPr>
        <w:spacing w:after="160" w:line="276"/>
      </w:pPr>
      <w:r>
        <w:t xml:space="preserve">Halcyon Credit is a digital consumer lender serving applicants who often carry thin or non-traditional credit histories. Loan applications arrive faster than human underwriters can review them, and each file requires cross-checking income, debts, bureau records, and prior application history before a defensible decision can be written.</w:t>
      </w:r>
    </w:p>
    <w:p>
      <w:pPr>
        <w:spacing w:after="160" w:line="276"/>
      </w:pPr>
      <w:r>
        <w:t xml:space="preserve">Leadership has explicitly rejected a black-box scoring approach. A lender must be able to explain a decline to the applicant, defend it to a regulator, and demonstrate that the decision was reached fairly. The current manual process is careful but slow, and the queue keeps growing faster than headcount.</w:t>
      </w:r>
    </w:p>
    <w:p>
      <w:pPr>
        <w:pStyle w:val="Heading3"/>
      </w:pPr>
      <w:r>
        <w:t xml:space="preserve">1.1 Core Problem</w:t>
      </w:r>
    </w:p>
    <w:p>
      <w:pPr>
        <w:spacing w:after="160" w:line="276"/>
      </w:pPr>
      <w:r>
        <w:t xml:space="preserve">Underwriting throughput is capacity-constrained, and the obvious fix — a fast ML score — fails Halcyon's trust bar, because a score alone cannot be explained, audited, or defended.</w:t>
      </w:r>
    </w:p>
    <w:p>
      <w:pPr>
        <w:pStyle w:val="Heading3"/>
      </w:pPr>
      <w:r>
        <w:t xml:space="preserve">1.2 Why Now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t xml:space="preserve">Application volume is outpacing underwriter capacity, creating a growing backlog and slower turnaround for applicants.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t xml:space="preserve">A meaningful share of applicants are thin-file or non-traditional, which existing scorecards underrepresent and handle poorly.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t xml:space="preserve">Regulatory expectations (fair lending, adverse-action reasoning) make an unexplainable automated decision a direct legal and reputational liability.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t xml:space="preserve">Existing external bureau scores (e.g. EXT_SOURCE-style signals) are already opaque to the business; stacking another opaque model on top compounds the trust problem instead of solving it.</w:t>
      </w:r>
    </w:p>
    <w:p>
      <w:pPr>
        <w:pStyle w:val="Heading3"/>
      </w:pPr>
      <w:r>
        <w:t xml:space="preserve">1.3 Problem We Are Not Solving</w:t>
      </w:r>
    </w:p>
    <w:p>
      <w:pPr>
        <w:spacing w:after="160" w:line="276"/>
      </w:pPr>
      <w:r>
        <w:t xml:space="preserve">We are not building a new credit scoring bureau, a loan origination system, or a system that replaces human underwriters. We are building the layer that assembles facts, reasons about risk transparently, checks itself against policy and fairness, and routes a clear, evidence-backed recommendation to a human who remains the decision-maker of record for declines and edge cases.</w:t>
      </w:r>
    </w:p>
    <w:p>
      <w:pPr>
        <w:pStyle w:val="Heading1"/>
      </w:pPr>
      <w:r>
        <w:t xml:space="preserve">2. Target Users and Personas</w:t>
      </w:r>
    </w:p>
    <w:p>
      <w:pPr>
        <w:spacing w:after="160" w:line="276"/>
      </w:pPr>
      <w:r>
        <w:t xml:space="preserve">Five personas anchor design and prioritization decisions. Each carries one goal, one frustration, and one job-to-be-done statement that scope decisions can be tested against.</w:t>
      </w:r>
    </w:p>
    <w:p>
      <w:pPr>
        <w:spacing w:after="60" w:before="200"/>
      </w:pPr>
      <w:r>
        <w:rPr>
          <w:b/>
          <w:bCs/>
          <w:color w:val="1F4E5C"/>
          <w:sz w:val="24"/>
          <w:szCs w:val="24"/>
        </w:rPr>
        <w:t xml:space="preserve">Persona 1 — Priya, Frontline Underwriter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Reviews the copilot's recommendation on the majority of standard applications before signing off.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86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1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Goal</w:t>
            </w:r>
          </w:p>
        </w:tc>
        <w:tc>
          <w:tcPr>
            <w:tcW w:type="dxa" w:w="786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Clear the queue without compromising decision quality or missing a fairness or policy issue.</w:t>
            </w:r>
          </w:p>
        </w:tc>
      </w:tr>
      <w:tr>
        <w:tc>
          <w:tcPr>
            <w:tcW w:type="dxa" w:w="221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786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Spends most of her time re-deriving facts the system should have assembled for her, and distrusts any recommendation she can't trace to evidence.</w:t>
            </w:r>
          </w:p>
        </w:tc>
      </w:tr>
      <w:tr>
        <w:tc>
          <w:tcPr>
            <w:tcW w:type="dxa" w:w="221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Job to Be Done</w:t>
            </w:r>
          </w:p>
        </w:tc>
        <w:tc>
          <w:tcPr>
            <w:tcW w:type="dxa" w:w="786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When I open a file, I want every relevant fact already assembled and the reasoning shown, so I can confirm or override in minutes, not re-investigate from scratch.</w:t>
            </w:r>
          </w:p>
        </w:tc>
      </w:tr>
    </w:tbl>
    <w:p>
      <w:pPr>
        <w:spacing w:after="60" w:before="200"/>
      </w:pPr>
      <w:r>
        <w:rPr>
          <w:b/>
          <w:bCs/>
          <w:color w:val="1F4E5C"/>
          <w:sz w:val="24"/>
          <w:szCs w:val="24"/>
        </w:rPr>
        <w:t xml:space="preserve">Persona 2 — Daniel, Senior Underwriter (Escalation Reviewer)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Takes the cases the copilot routes as thin-file, low-confidence, or fairness-flagged.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86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1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Goal</w:t>
            </w:r>
          </w:p>
        </w:tc>
        <w:tc>
          <w:tcPr>
            <w:tcW w:type="dxa" w:w="786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Resolve genuinely ambiguous cases correctly, with full context on why the case was escalated.</w:t>
            </w:r>
          </w:p>
        </w:tc>
      </w:tr>
      <w:tr>
        <w:tc>
          <w:tcPr>
            <w:tcW w:type="dxa" w:w="221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786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Escalations often arrive with no clear reason — he has to reconstruct what was uncertain before he can even start deciding.</w:t>
            </w:r>
          </w:p>
        </w:tc>
      </w:tr>
      <w:tr>
        <w:tc>
          <w:tcPr>
            <w:tcW w:type="dxa" w:w="221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Job to Be Done</w:t>
            </w:r>
          </w:p>
        </w:tc>
        <w:tc>
          <w:tcPr>
            <w:tcW w:type="dxa" w:w="786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When a case is escalated to me, I want a referral package stating exactly what is known, what is uncertain, and why a human is needed, so I don't repeat the copilot's work.</w:t>
            </w:r>
          </w:p>
        </w:tc>
      </w:tr>
    </w:tbl>
    <w:p>
      <w:pPr>
        <w:spacing w:after="60" w:before="200"/>
      </w:pPr>
      <w:r>
        <w:rPr>
          <w:b/>
          <w:bCs/>
          <w:color w:val="1F4E5C"/>
          <w:sz w:val="24"/>
          <w:szCs w:val="24"/>
        </w:rPr>
        <w:t xml:space="preserve">Persona 3 — Maria, Operations Lead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Owns queue throughput, unit economics, and answers to leadership for cost and quality.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86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1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Goal</w:t>
            </w:r>
          </w:p>
        </w:tc>
        <w:tc>
          <w:tcPr>
            <w:tcW w:type="dxa" w:w="786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Prove the system reduces cost-per-application without degrading decision quality or fairness.</w:t>
            </w:r>
          </w:p>
        </w:tc>
      </w:tr>
      <w:tr>
        <w:tc>
          <w:tcPr>
            <w:tcW w:type="dxa" w:w="221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786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Has no real-time visibility into what the system costs to run or where quality is silently slipping.</w:t>
            </w:r>
          </w:p>
        </w:tc>
      </w:tr>
      <w:tr>
        <w:tc>
          <w:tcPr>
            <w:tcW w:type="dxa" w:w="221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Job to Be Done</w:t>
            </w:r>
          </w:p>
        </w:tc>
        <w:tc>
          <w:tcPr>
            <w:tcW w:type="dxa" w:w="786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When I check the dashboard, I want cost, latency, and quality metrics in one place, so I can defend the system's ROI without asking engineering for a one-off report.</w:t>
            </w:r>
          </w:p>
        </w:tc>
      </w:tr>
    </w:tbl>
    <w:p>
      <w:pPr>
        <w:spacing w:after="60" w:before="200"/>
      </w:pPr>
      <w:r>
        <w:rPr>
          <w:b/>
          <w:bCs/>
          <w:color w:val="1F4E5C"/>
          <w:sz w:val="24"/>
          <w:szCs w:val="24"/>
        </w:rPr>
        <w:t xml:space="preserve">Persona 4 — Elena, Compliance &amp; Fairness Officer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Confirms every decision pattern is policy-adherent and fair across applicant segments before it scales.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86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1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Goal</w:t>
            </w:r>
          </w:p>
        </w:tc>
        <w:tc>
          <w:tcPr>
            <w:tcW w:type="dxa" w:w="786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Catch a systemic fairness or policy gap before a regulator or a lawsuit does.</w:t>
            </w:r>
          </w:p>
        </w:tc>
      </w:tr>
      <w:tr>
        <w:tc>
          <w:tcPr>
            <w:tcW w:type="dxa" w:w="221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786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Fairness audits today are retrospective and manual, run long after decisions have already gone out.</w:t>
            </w:r>
          </w:p>
        </w:tc>
      </w:tr>
      <w:tr>
        <w:tc>
          <w:tcPr>
            <w:tcW w:type="dxa" w:w="221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Job to Be Done</w:t>
            </w:r>
          </w:p>
        </w:tc>
        <w:tc>
          <w:tcPr>
            <w:tcW w:type="dxa" w:w="786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When a new decision pattern emerges, I want a standing fairness and policy report, so issues surface before they become liabilities, not after.</w:t>
            </w:r>
          </w:p>
        </w:tc>
      </w:tr>
    </w:tbl>
    <w:p>
      <w:pPr>
        <w:spacing w:after="60" w:before="200"/>
      </w:pPr>
      <w:r>
        <w:rPr>
          <w:b/>
          <w:bCs/>
          <w:color w:val="1F4E5C"/>
          <w:sz w:val="24"/>
          <w:szCs w:val="24"/>
        </w:rPr>
        <w:t xml:space="preserve">Persona 5 — Sam, Loan Applicant (indirect user)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Receives a decision and, if declined, an explanation of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86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1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Goal</w:t>
            </w:r>
          </w:p>
        </w:tc>
        <w:tc>
          <w:tcPr>
            <w:tcW w:type="dxa" w:w="786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Understand exactly what to fix or provide to get approved, especially if he has a thin credit file.</w:t>
            </w:r>
          </w:p>
        </w:tc>
      </w:tr>
      <w:tr>
        <w:tc>
          <w:tcPr>
            <w:tcW w:type="dxa" w:w="221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786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Past adverse-action letters have used generic, unhelpful boilerplate reason codes.</w:t>
            </w:r>
          </w:p>
        </w:tc>
      </w:tr>
      <w:tr>
        <w:tc>
          <w:tcPr>
            <w:tcW w:type="dxa" w:w="221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Job to Be Done</w:t>
            </w:r>
          </w:p>
        </w:tc>
        <w:tc>
          <w:tcPr>
            <w:tcW w:type="dxa" w:w="786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When I'm declined, I want a specific, understandable reason tied to my actual application, so I know whether and how to reapply.</w:t>
            </w:r>
          </w:p>
        </w:tc>
      </w:tr>
    </w:tbl>
    <w:p>
      <w:pPr>
        <w:pStyle w:val="Heading1"/>
      </w:pPr>
      <w:r>
        <w:t xml:space="preserve">3. Jobs-to-be-Done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tblHeader/>
        </w:trPr>
        <w:tc>
          <w:tcPr>
            <w:tcW w:type="dxa" w:w="282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725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Job to Be Done (one sentence)</w:t>
            </w:r>
          </w:p>
        </w:tc>
      </w:tr>
      <w:tr>
        <w:tc>
          <w:tcPr>
            <w:tcW w:type="dxa" w:w="282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Frontline Underwriter</w:t>
            </w:r>
          </w:p>
        </w:tc>
        <w:tc>
          <w:tcPr>
            <w:tcW w:type="dxa" w:w="725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Get a fully assembled, evidence-backed recommendation so review takes minutes, not a manual re-investigation.</w:t>
            </w:r>
          </w:p>
        </w:tc>
      </w:tr>
      <w:tr>
        <w:tc>
          <w:tcPr>
            <w:tcW w:type="dxa" w:w="282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Senior Underwriter</w:t>
            </w:r>
          </w:p>
        </w:tc>
        <w:tc>
          <w:tcPr>
            <w:tcW w:type="dxa" w:w="725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Receive a referral package that states what's known, what's uncertain, and why — so escalation time isn't wasted reconstructing context.</w:t>
            </w:r>
          </w:p>
        </w:tc>
      </w:tr>
      <w:tr>
        <w:tc>
          <w:tcPr>
            <w:tcW w:type="dxa" w:w="282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Operations Lead</w:t>
            </w:r>
          </w:p>
        </w:tc>
        <w:tc>
          <w:tcPr>
            <w:tcW w:type="dxa" w:w="725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See cost, latency, and quality together so the system's ROI and reliability are always defensible.</w:t>
            </w:r>
          </w:p>
        </w:tc>
      </w:tr>
      <w:tr>
        <w:tc>
          <w:tcPr>
            <w:tcW w:type="dxa" w:w="282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725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See a standing fairness and policy report so systemic issues surface before they scale into liabilities.</w:t>
            </w:r>
          </w:p>
        </w:tc>
      </w:tr>
      <w:tr>
        <w:tc>
          <w:tcPr>
            <w:tcW w:type="dxa" w:w="282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Applicant</w:t>
            </w:r>
          </w:p>
        </w:tc>
        <w:tc>
          <w:tcPr>
            <w:tcW w:type="dxa" w:w="725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Receive a specific, evidence-tied reason for a decline so the next step is clear.</w:t>
            </w:r>
          </w:p>
        </w:tc>
      </w:tr>
    </w:tbl>
    <w:p>
      <w:pPr>
        <w:pStyle w:val="Heading1"/>
      </w:pPr>
      <w:r>
        <w:t xml:space="preserve">4. Scope and Non-Scope</w:t>
      </w:r>
    </w:p>
    <w:p>
      <w:pPr>
        <w:pStyle w:val="Heading2"/>
      </w:pPr>
      <w:r>
        <w:t xml:space="preserve">4.1 In Scope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t xml:space="preserve">Ingesting structured application data and joined bureau / prior-application / installment / POS / credit-card history for a single applicant file.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t xml:space="preserve">An agentic pipeline that verifies income/employment consistency, summarizes credit history, scores repayment risk, checks the decision against a policy rulebook, checks fairness against segment baselines, critiques the draft decision and explanation, writes a grounded explanation, and routes to a human when warranted.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t xml:space="preserve">A trained tabular risk model (LightGBM-class) with calibrated probability output and SHAP-based local explainability.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t xml:space="preserve">A retrieval-augmented policy and compliance layer grounded in a synthetic lending rulebook and reason-code corpus.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t xml:space="preserve">A synthetic data pipeline covering applicant narratives, thin-file profiles, adversarial/inconsistent cases, and rare fraud patterns.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t xml:space="preserve">A full evaluation pipeline: golden set, calibrated LLM judge, RAGAS, regression CI, DSPy-optimized explanation prompts, and a benchmark against non-agentic baselines.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t xml:space="preserve">An LLM gateway with model routing, fallback, and cost/latency instrumentation, plus an observability dashboard.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t xml:space="preserve">A deployed API and minimal decision-card interface, with an operate runbook.</w:t>
      </w:r>
    </w:p>
    <w:p>
      <w:pPr>
        <w:pStyle w:val="Heading2"/>
      </w:pPr>
      <w:r>
        <w:t xml:space="preserve">4.2 Out of Scope (this engagement)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t xml:space="preserve">Replacing the human underwriter as the legal decision-maker of record for declines and escalations.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t xml:space="preserve">Building a new credit bureau, loan origination system, or core banking integration.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t xml:space="preserve">Live integration with real, regulated production credit bureaus or payment processors (mock services seeded from the dataset stand in for these).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t xml:space="preserve">Fine-tuning a foundation model (DoRA/QLoRA) or building a distilled production model — explicitly deferred to a future phase given the 2-week build window and a free-first tooling mandate.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t xml:space="preserve">Multi-agent debate, GraphRAG, and Agent2Agent (A2A) cross-service orchestration — evaluated and deferred; documented as future work with rationale.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t xml:space="preserve">Applicant-facing chat or self-service interface; the system's user is the underwriter, not the applicant directly.</w:t>
      </w:r>
    </w:p>
    <w:p>
      <w:pPr>
        <w:pStyle w:val="Heading1"/>
      </w:pPr>
      <w:r>
        <w:t xml:space="preserve">5. Assumptions and Open Questions</w:t>
      </w:r>
    </w:p>
    <w:p>
      <w:pPr>
        <w:pStyle w:val="Heading2"/>
      </w:pPr>
      <w:r>
        <w:t xml:space="preserve">5.1 Stated Assumptions (where the client cannot be asked directly)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5242"/>
        <w:gridCol w:w="4032"/>
      </w:tblGrid>
      <w:tr>
        <w:trPr>
          <w:tblHeader/>
        </w:trPr>
        <w:tc>
          <w:tcPr>
            <w:tcW w:type="dxa" w:w="8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4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403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It's Needed</w:t>
            </w:r>
          </w:p>
        </w:tc>
      </w:tr>
      <w:tr>
        <w:tc>
          <w:tcPr>
            <w:tcW w:type="dxa" w:w="8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A1</w:t>
            </w:r>
          </w:p>
        </w:tc>
        <w:tc>
          <w:tcPr>
            <w:tcW w:type="dxa" w:w="524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The Home Credit Default Risk dataset's TARGET label (repayment difficulty) is an adequate proxy for Halcyon's real default definition.</w:t>
            </w:r>
          </w:p>
        </w:tc>
        <w:tc>
          <w:tcPr>
            <w:tcW w:type="dxa" w:w="403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No client-specific default definition exists; a public dataset proxy is required to build and evaluate a model at all.</w:t>
            </w:r>
          </w:p>
        </w:tc>
      </w:tr>
      <w:tr>
        <w:tc>
          <w:tcPr>
            <w:tcW w:type="dxa" w:w="8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A2</w:t>
            </w:r>
          </w:p>
        </w:tc>
        <w:tc>
          <w:tcPr>
            <w:tcW w:type="dxa" w:w="524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 human underwriter remains accountable for every decline and every escalated case; the copilot's output is a recommendation, not a final decision.</w:t>
            </w:r>
          </w:p>
        </w:tc>
        <w:tc>
          <w:tcPr>
            <w:tcW w:type="dxa" w:w="403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Required to keep the system within a defensible legal and ethical operating boundary given Halcyon's stated rejection of black-box automation.</w:t>
            </w:r>
          </w:p>
        </w:tc>
      </w:tr>
      <w:tr>
        <w:tc>
          <w:tcPr>
            <w:tcW w:type="dxa" w:w="8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A3</w:t>
            </w:r>
          </w:p>
        </w:tc>
        <w:tc>
          <w:tcPr>
            <w:tcW w:type="dxa" w:w="524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Synthetic applicant narratives and the lending policy rulebook are stand-ins for real Halcyon documents and policy, since no real client artifacts exist for this engagement.</w:t>
            </w:r>
          </w:p>
        </w:tc>
        <w:tc>
          <w:tcPr>
            <w:tcW w:type="dxa" w:w="403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Stage 5 of the brief explicitly requires synthetic augmentation; no real policy text is available.</w:t>
            </w:r>
          </w:p>
        </w:tc>
      </w:tr>
      <w:tr>
        <w:tc>
          <w:tcPr>
            <w:tcW w:type="dxa" w:w="8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A4</w:t>
            </w:r>
          </w:p>
        </w:tc>
        <w:tc>
          <w:tcPr>
            <w:tcW w:type="dxa" w:w="524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Protected attributes (gender, age) are usable for fairness auditing but never as model features.</w:t>
            </w:r>
          </w:p>
        </w:tc>
        <w:tc>
          <w:tcPr>
            <w:tcW w:type="dxa" w:w="403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Required to satisfy fair-lending principles while still being able to measure the fairness gap metric.</w:t>
            </w:r>
          </w:p>
        </w:tc>
      </w:tr>
      <w:tr>
        <w:tc>
          <w:tcPr>
            <w:tcW w:type="dxa" w:w="8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A5</w:t>
            </w:r>
          </w:p>
        </w:tc>
        <w:tc>
          <w:tcPr>
            <w:tcW w:type="dxa" w:w="524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 free-tier deployment and free/open models for iteration are acceptable for this engagement; paid calls are reserved for evaluation and final runs.</w:t>
            </w:r>
          </w:p>
        </w:tc>
        <w:tc>
          <w:tcPr>
            <w:tcW w:type="dxa" w:w="403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Matches the brief's free-first tooling mandate and the cost-per-application guardrail.</w:t>
            </w:r>
          </w:p>
        </w:tc>
      </w:tr>
    </w:tbl>
    <w:p>
      <w:pPr>
        <w:pStyle w:val="Heading2"/>
      </w:pPr>
      <w:r>
        <w:t xml:space="preserve">5.2 Open Questions for the Client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t xml:space="preserve">What is Halcyon's actual application volume, and what does the daily/weekly peak pattern look like?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t xml:space="preserve">What categories of decision must never be automated end-to-end, even with high model confidence (e.g. is there a loan-size threshold above which a human must review regardless of score)?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t xml:space="preserve">What is the real adverse-action reason-code taxonomy Halcyon currently uses, and does it map cleanly to model-derived SHAP factors?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t xml:space="preserve">What latency is acceptable from application submission to a recommendation appearing in an underwriter's queue?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t xml:space="preserve">What is Halcyon's existing definition of a fairness-sensitive segment, beyond the legally protected classes?</w:t>
      </w:r>
    </w:p>
    <w:p>
      <w:pPr>
        <w:pStyle w:val="Heading1"/>
      </w:pPr>
      <w:r>
        <w:t xml:space="preserve">6. Explanation Teardown — Pattern and Anti-Pattern</w:t>
      </w:r>
    </w:p>
    <w:p>
      <w:pPr>
        <w:spacing w:after="160" w:line="276"/>
      </w:pPr>
      <w:r>
        <w:t xml:space="preserve">Two real adverse-action / decision-explanation approaches were examined to ground what makes a written reason trustworthy versus what undermines trust.</w:t>
      </w:r>
    </w:p>
    <w:p>
      <w:pPr>
        <w:pStyle w:val="Heading3"/>
      </w:pPr>
      <w:r>
        <w:t xml:space="preserve">6.1 Pattern Worth Adopting</w:t>
      </w:r>
    </w:p>
    <w:p>
      <w:pPr>
        <w:spacing w:after="160" w:line="276"/>
      </w:pPr>
      <w:r>
        <w:t xml:space="preserve">Specific, factor-tied reason statements (e.g. citing a debt-to-income ratio against a stated threshold, or a specific missed-payment pattern) let an applicant or reviewer trace the explanation back to a concrete, checkable fact. This is the model our Explanation Writer agent follows: every claim must cite a SHAP factor or a retrievable policy/compliance reference.</w:t>
      </w:r>
    </w:p>
    <w:p>
      <w:pPr>
        <w:pStyle w:val="Heading3"/>
      </w:pPr>
      <w:r>
        <w:t xml:space="preserve">6.2 Anti-Pattern to Avoid</w:t>
      </w:r>
    </w:p>
    <w:p>
      <w:pPr>
        <w:spacing w:after="160" w:line="276"/>
      </w:pPr>
      <w:r>
        <w:t xml:space="preserve">Generic, boilerplate reason codes (e.g. a vague “insufficient credit history” with no specifics) leave the applicant unable to act and leave a reviewer unable to verify the decision was reasoned, not templated. Our Adjudication Critic agent explicitly rejects explanations that are not grounded in this application's own evidence.</w:t>
      </w:r>
    </w:p>
    <w:p>
      <w:pPr>
        <w:pStyle w:val="Heading1"/>
      </w:pPr>
      <w:r>
        <w:t xml:space="preserve">7. Target Metrics, Baselines, and Operational Definitions</w:t>
      </w:r>
    </w:p>
    <w:p>
      <w:pPr>
        <w:spacing w:after="160" w:line="276"/>
      </w:pPr>
      <w:r>
        <w:t xml:space="preserve">Every metric below has an explicit operational definition so it is unambiguous in later evaluation, a stated target, and a stated baseline for comparison — a target without a baseline cannot be judged. Decision Quality is the north-star metric; Fairness Gap and Policy Adherence are hard guardrails that must never be crossed even if Decision Quality or cost improves.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3830"/>
        <w:gridCol w:w="3427"/>
        <w:gridCol w:w="1210"/>
      </w:tblGrid>
      <w:tr>
        <w:trPr>
          <w:tblHeader/>
        </w:trPr>
        <w:tc>
          <w:tcPr>
            <w:tcW w:type="dxa" w:w="16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83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Operational Definition</w:t>
            </w:r>
          </w:p>
        </w:tc>
        <w:tc>
          <w:tcPr>
            <w:tcW w:type="dxa" w:w="34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&amp; Baseline</w:t>
            </w:r>
          </w:p>
        </w:tc>
        <w:tc>
          <w:tcPr>
            <w:tcW w:type="dxa" w:w="121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6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Decision Quality</w:t>
            </w:r>
          </w:p>
        </w:tc>
        <w:tc>
          <w:tcPr>
            <w:tcW w:type="dxa" w:w="383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Agreement with ground-truth repayment outcome on held-out loans (AUC-ROC, PR-AUC given class imbalance, and calibration error).</w:t>
            </w:r>
          </w:p>
        </w:tc>
        <w:tc>
          <w:tcPr>
            <w:tcW w:type="dxa" w:w="34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AUC-ROC ≥ 0.74 on held-out real test set (baseline: trained LightGBM model alone, expected ~0.74–0.76 on this dataset's known difficulty).</w:t>
            </w:r>
          </w:p>
        </w:tc>
        <w:tc>
          <w:tcPr>
            <w:tcW w:type="dxa" w:w="121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North Star</w:t>
            </w:r>
          </w:p>
        </w:tc>
      </w:tr>
      <w:tr>
        <w:tc>
          <w:tcPr>
            <w:tcW w:type="dxa" w:w="16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Explanation Faithfulness</w:t>
            </w:r>
          </w:p>
        </w:tc>
        <w:tc>
          <w:tcPr>
            <w:tcW w:type="dxa" w:w="383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Whether the written reason matches the factors that actually drove the decision (RAGAS faithfulness + critic pass rate + judge rubric score).</w:t>
            </w:r>
          </w:p>
        </w:tc>
        <w:tc>
          <w:tcPr>
            <w:tcW w:type="dxa" w:w="34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≥ 90% of explanations pass the critic's faithfulness check on first or second pass; RAGAS faithfulness ≥ 0.85.</w:t>
            </w:r>
          </w:p>
        </w:tc>
        <w:tc>
          <w:tcPr>
            <w:tcW w:type="dxa" w:w="121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Supporting</w:t>
            </w:r>
          </w:p>
        </w:tc>
      </w:tr>
      <w:tr>
        <w:tc>
          <w:tcPr>
            <w:tcW w:type="dxa" w:w="16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Fairness Gap</w:t>
            </w:r>
          </w:p>
        </w:tc>
        <w:tc>
          <w:tcPr>
            <w:tcW w:type="dxa" w:w="383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Difference in approval rate and error rate (FPR/FNR) across gender, age-bucket, and region-rating segments.</w:t>
            </w:r>
          </w:p>
        </w:tc>
        <w:tc>
          <w:tcPr>
            <w:tcW w:type="dxa" w:w="34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Approval-rate gap ≤ 5 percentage points across segments with sufficient sample size; flagged and reported (not silently passed) when sample size is insufficient.</w:t>
            </w:r>
          </w:p>
        </w:tc>
        <w:tc>
          <w:tcPr>
            <w:tcW w:type="dxa" w:w="121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Guardrail</w:t>
            </w:r>
          </w:p>
        </w:tc>
      </w:tr>
      <w:tr>
        <w:tc>
          <w:tcPr>
            <w:tcW w:type="dxa" w:w="16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Policy Adherence</w:t>
            </w:r>
          </w:p>
        </w:tc>
        <w:tc>
          <w:tcPr>
            <w:tcW w:type="dxa" w:w="383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Share of decisions where every applicable policy rule was checked and respected, with no hard-stop violations released.</w:t>
            </w:r>
          </w:p>
        </w:tc>
        <w:tc>
          <w:tcPr>
            <w:tcW w:type="dxa" w:w="34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100% — zero hard-stop policy violations released; ≤ 2% of cases routed to “policy undetermined” human review.</w:t>
            </w:r>
          </w:p>
        </w:tc>
        <w:tc>
          <w:tcPr>
            <w:tcW w:type="dxa" w:w="121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Guardrail</w:t>
            </w:r>
          </w:p>
        </w:tc>
      </w:tr>
      <w:tr>
        <w:tc>
          <w:tcPr>
            <w:tcW w:type="dxa" w:w="16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Cost per Assessed Application</w:t>
            </w:r>
          </w:p>
        </w:tc>
        <w:tc>
          <w:tcPr>
            <w:tcW w:type="dxa" w:w="383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Total LLM + infra cost (gateway-logged) divided by applications successfully assessed end-to-end.</w:t>
            </w:r>
          </w:p>
        </w:tc>
        <w:tc>
          <w:tcPr>
            <w:tcW w:type="dxa" w:w="34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≤ $0.05 per application at the cheap-model routing tier (baseline: single strong-model-only call, expected materially higher per call).</w:t>
            </w:r>
          </w:p>
        </w:tc>
        <w:tc>
          <w:tcPr>
            <w:tcW w:type="dxa" w:w="121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Supporting</w:t>
            </w:r>
          </w:p>
        </w:tc>
      </w:tr>
    </w:tbl>
    <w:p>
      <w:pPr>
        <w:pStyle w:val="Heading3"/>
      </w:pPr>
      <w:r>
        <w:t xml:space="preserve">7.1 Why These Are the Right Metrics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t xml:space="preserve">Decision Quality is north-star because it is the system's core economic and reputational function — a copilot that is fast and explainable but wrong is still a liability.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t xml:space="preserve">Explanation Faithfulness and Policy Adherence operationalize Halcyon's explicit “not a black box” mandate; without them, the system is indistinguishable from the score it was built to avoid.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t xml:space="preserve">Fairness Gap is a guardrail, not a supporting metric, because an improvement in average decision quality that widens a segment gap is not an acceptable trade — it must block release, not just get reported.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t xml:space="preserve">Cost per Assessed Application is the unit economics gate that decides whether this ships at all, per the brief's explicit framing.</w:t>
      </w:r>
    </w:p>
    <w:p>
      <w:pPr>
        <w:pStyle w:val="Heading1"/>
      </w:pPr>
      <w:r>
        <w:t xml:space="preserve">8. Non-Functional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85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Latency budget (p50 / p95)</w:t>
            </w:r>
          </w:p>
        </w:tc>
        <w:tc>
          <w:tcPr>
            <w:tcW w:type="dxa" w:w="685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p50 ≤ 12s, p95 ≤ 30s from application submission to a recommendation reaching the underwriter's queue, under normal load.</w:t>
            </w:r>
          </w:p>
        </w:tc>
      </w:tr>
      <w:tr>
        <w:tc>
          <w:tcPr>
            <w:tcW w:type="dxa" w:w="3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Burst handling</w:t>
            </w:r>
          </w:p>
        </w:tc>
        <w:tc>
          <w:tcPr>
            <w:tcW w:type="dxa" w:w="685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Sustain at least 10 concurrent application assessments without latency budget breach, via async agent execution, queuing, and caching.</w:t>
            </w:r>
          </w:p>
        </w:tc>
      </w:tr>
      <w:tr>
        <w:tc>
          <w:tcPr>
            <w:tcW w:type="dxa" w:w="3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Cost ceiling per application</w:t>
            </w:r>
          </w:p>
        </w:tc>
        <w:tc>
          <w:tcPr>
            <w:tcW w:type="dxa" w:w="685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≤ $0.05 average; hard alarm at ≥ $0.15 for any single application (signals a routing or retry failure).</w:t>
            </w:r>
          </w:p>
        </w:tc>
      </w:tr>
      <w:tr>
        <w:tc>
          <w:tcPr>
            <w:tcW w:type="dxa" w:w="3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Safety bar for sensitive cases</w:t>
            </w:r>
          </w:p>
        </w:tc>
        <w:tc>
          <w:tcPr>
            <w:tcW w:type="dxa" w:w="685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Any case below the model-confidence threshold, any thin-file case, and any fairness-flagged case is routed to human escalation — never auto-approved or auto-declined.</w:t>
            </w:r>
          </w:p>
        </w:tc>
      </w:tr>
      <w:tr>
        <w:tc>
          <w:tcPr>
            <w:tcW w:type="dxa" w:w="3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85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Gateway-level fallback chain ensures no single model provider outage halts the pipeline; degraded mode routes to human review rather than failing silently.</w:t>
            </w:r>
          </w:p>
        </w:tc>
      </w:tr>
      <w:tr>
        <w:tc>
          <w:tcPr>
            <w:tcW w:type="dxa" w:w="3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854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Every decision is traceable end-to-end: every agent step, tool call, retrieved policy/compliance reference, and model version is logged and reconstructable.</w:t>
            </w:r>
          </w:p>
        </w:tc>
      </w:tr>
    </w:tbl>
    <w:p>
      <w:pPr>
        <w:pStyle w:val="Heading1"/>
      </w:pPr>
      <w:r>
        <w:t xml:space="preserve">9. Discovery Data Snapshot</w:t>
      </w:r>
    </w:p>
    <w:p>
      <w:pPr>
        <w:spacing w:after="160" w:line="276"/>
      </w:pPr>
      <w:r>
        <w:t xml:space="preserve">Primary dataset: Home Credit Default Risk (Kaggle), chosen over Lending Club and the Risk Model Stability release because it is multi-table and closest in shape to a real underwriting file — application, bureau, and installment history joined on applicant ID, matching exactly the kind of file an underwriter would actually open.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tblHeader/>
        </w:trPr>
        <w:tc>
          <w:tcPr>
            <w:tcW w:type="dxa" w:w="282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725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4E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282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Scale</w:t>
            </w:r>
          </w:p>
        </w:tc>
        <w:tc>
          <w:tcPr>
            <w:tcW w:type="dxa" w:w="725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~307K applications in the full training set (this sample: 100 rows for schema profiling); 122 columns per application; previous_application.csv alone carries ~1.05M historical loan records.</w:t>
            </w:r>
          </w:p>
        </w:tc>
      </w:tr>
      <w:tr>
        <w:tc>
          <w:tcPr>
            <w:tcW w:type="dxa" w:w="282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Class balance</w:t>
            </w:r>
          </w:p>
        </w:tc>
        <w:tc>
          <w:tcPr>
            <w:tcW w:type="dxa" w:w="725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~8% positive (default / repayment difficulty) in the full dataset — severe imbalance; accuracy is not a usable metric, PR-AUC and calibration are required.</w:t>
            </w:r>
          </w:p>
        </w:tc>
      </w:tr>
      <w:tr>
        <w:tc>
          <w:tcPr>
            <w:tcW w:type="dxa" w:w="282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Known data quality issue</w:t>
            </w:r>
          </w:p>
        </w:tc>
        <w:tc>
          <w:tcPr>
            <w:tcW w:type="dxa" w:w="725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DAYS_EMPLOYED carries a sentinel value (365243) for unemployed/pensioner applicants — requires explicit cleaning into a missingness flag, not naive imputation.</w:t>
            </w:r>
          </w:p>
        </w:tc>
      </w:tr>
      <w:tr>
        <w:tc>
          <w:tcPr>
            <w:tcW w:type="dxa" w:w="282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Strongest existing signal</w:t>
            </w:r>
          </w:p>
        </w:tc>
        <w:tc>
          <w:tcPr>
            <w:tcW w:type="dxa" w:w="725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EXT_SOURCE_1/2/3 (normalized external bureau scores) are historically the strongest predictors and are themselves partially missing and already opaque — directly motivating the explainability mandate.</w:t>
            </w:r>
          </w:p>
        </w:tc>
      </w:tr>
      <w:tr>
        <w:tc>
          <w:tcPr>
            <w:tcW w:type="dxa" w:w="282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Underrepresented segment</w:t>
            </w:r>
          </w:p>
        </w:tc>
        <w:tc>
          <w:tcPr>
            <w:tcW w:type="dxa" w:w="725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Thin-file / sparse-bureau-history applicants are present but underrepresented relative to real-world volume — the primary target for synthetic augmentation.</w:t>
            </w:r>
          </w:p>
        </w:tc>
      </w:tr>
      <w:tr>
        <w:tc>
          <w:tcPr>
            <w:tcW w:type="dxa" w:w="2822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Fairness-relevant fields</w:t>
            </w:r>
          </w:p>
        </w:tc>
        <w:tc>
          <w:tcPr>
            <w:tcW w:type="dxa" w:w="725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CODE_GENDER and DAYS_BIRTH (age) are protected attributes; NAME_EDUCATION_TYPE, OCCUPATION_TYPE, ORGANIZATION_TYPE, and REGION_RATING_CLIENT are potential proxies requiring explicit fairness monitoring even if used as model features.</w:t>
            </w:r>
          </w:p>
        </w:tc>
      </w:tr>
    </w:tbl>
    <w:p>
      <w:pPr>
        <w:pStyle w:val="Heading1"/>
      </w:pPr>
      <w:r>
        <w:t xml:space="preserve">10. Approval</w:t>
      </w:r>
    </w:p>
    <w:p>
      <w:pPr>
        <w:spacing w:after="160" w:line="276"/>
      </w:pPr>
      <w:r>
        <w:t xml:space="preserve">This PRD is intended to be buildable by an engineer without a follow-up meeting, and approvable by a stakeholder as the contract for Sprint 0 exit. Metrics in Section 7 will be revisited once the baseline model (Sprint 1) produces real numbers to replace estimated baselines.</w:t>
      </w:r>
    </w:p>
    <w:p>
      <w:pPr>
        <w:spacing w:before="300"/>
      </w:pPr>
      <w:r>
        <w:rPr>
          <w:b/>
          <w:bCs/>
        </w:rPr>
        <w:t xml:space="preserve">Prepared by: </w:t>
      </w:r>
      <w:r>
        <w:t xml:space="preserve">Anirudh, AI Engineering Squad</w:t>
      </w:r>
    </w:p>
    <w:p>
      <w:pPr>
        <w:spacing w:before="120"/>
      </w:pPr>
      <w:r>
        <w:rPr>
          <w:b/>
          <w:bCs/>
        </w:rPr>
        <w:t xml:space="preserve">Review gate: </w:t>
      </w:r>
      <w:r>
        <w:t xml:space="preserve">Sprint 0 exit — Discover and Define</w:t>
      </w:r>
    </w:p>
    <w:sectPr>
      <w:headerReference w:type="default" r:id="rId11"/>
      <w:footerReference w:type="default" r:id="rId12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10080"/>
      </w:tabs>
    </w:pPr>
    <w:r>
      <w:rPr>
        <w:color w:val="808080"/>
        <w:sz w:val="16"/>
        <w:szCs w:val="16"/>
      </w:rPr>
      <w:t xml:space="preserve">Halcyon Credit — Agentic Underwriting Copilot</w:t>
    </w:r>
    <w:r>
      <w:rPr>
        <w:color w:val="808080"/>
        <w:sz w:val="16"/>
        <w:szCs w:val="16"/>
      </w:rPr>
      <w:t xml:space="preserve">	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C" w:sz="6" w:space="4"/>
      </w:pBdr>
      <w:spacing w:after="200" w:before="420"/>
      <w:outlineLvl w:val="0"/>
    </w:pPr>
    <w:rPr>
      <w:rFonts w:ascii="Calibri" w:cs="Calibri" w:eastAsia="Calibri" w:hAnsi="Calibri"/>
      <w:b/>
      <w:bCs/>
      <w:color w:val="1F4E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4E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5667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Underwriting Copilot — PRD</dc:title>
  <dc:creator>Anirudh</dc:creator>
  <cp:lastModifiedBy>Un-named</cp:lastModifiedBy>
  <cp:revision>1</cp:revision>
  <dcterms:created xsi:type="dcterms:W3CDTF">2026-06-16T08:36:23.483Z</dcterms:created>
  <dcterms:modified xsi:type="dcterms:W3CDTF">2026-06-16T08:36:23.498Z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