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none" w:color="FFFFFF" w:sz="0"/>
              <w:left w:val="none" w:color="FFFFFF" w:sz="0"/>
              <w:bottom w:val="single" w:color="F4B942" w:sz="36"/>
              <w:right w:val="none" w:color="FFFFFF" w:sz="0"/>
            </w:tcBorders>
            <w:shd w:fill="14213D" w:color="auto" w:val="clear"/>
            <w:tcMar>
              <w:top w:type="dxa" w:w="180"/>
              <w:left w:type="dxa" w:w="260"/>
              <w:bottom w:type="dxa" w:w="160"/>
              <w:right w:type="dxa" w:w="260"/>
            </w:tcMar>
            <w:vAlign w:val="center"/>
          </w:tcPr>
          <w:p>
            <w:pPr>
              <w:keepLines/>
              <w:spacing w:after="20" w:before="0" w:line="240"/>
            </w:pPr>
            <w:r>
              <w:rPr>
                <w:rFonts w:ascii="Calibri" w:cs="Calibri" w:eastAsia="Calibri" w:hAnsi="Calibri"/>
                <w:b/>
                <w:bCs/>
                <w:color w:val="FFFFFF"/>
                <w:sz w:val="38"/>
                <w:szCs w:val="38"/>
              </w:rPr>
              <w:t xml:space="preserve">MUC02 – Credit Pre-Screening Engine</w:t>
            </w:r>
          </w:p>
          <w:p>
            <w:pPr>
              <w:keepLines/>
              <w:spacing w:after="0" w:before="0" w:line="240"/>
            </w:pPr>
            <w:r>
              <w:rPr>
                <w:rFonts w:ascii="Calibri" w:cs="Calibri" w:eastAsia="Calibri" w:hAnsi="Calibri"/>
                <w:b/>
                <w:bCs/>
                <w:color w:val="F4B942"/>
                <w:sz w:val="23"/>
                <w:szCs w:val="23"/>
              </w:rPr>
              <w:t xml:space="preserve">Insight Summary – Loan Intake Optimisation</w:t>
            </w:r>
          </w:p>
        </w:tc>
      </w:tr>
    </w:tbl>
    <w:p>
      <w:pPr>
        <w:keepLines/>
        <w:spacing w:after="90" w:before="0" w:line="252"/>
      </w:pPr>
    </w:p>
    <w:tbl>
      <w:tblPr>
        <w:tblW w:type="dxa" w:w="10464"/>
        <w:tblBorders>
          <w:top w:val="single" w:color="auto" w:sz="4"/>
          <w:left w:val="single" w:color="auto" w:sz="4"/>
          <w:bottom w:val="single" w:color="auto" w:sz="4"/>
          <w:right w:val="single" w:color="auto" w:sz="4"/>
          <w:insideH w:val="single" w:color="auto" w:sz="4"/>
          <w:insideV w:val="single" w:color="auto" w:sz="4"/>
        </w:tblBorders>
      </w:tblPr>
      <w:tblGrid>
        <w:gridCol w:w="2616"/>
        <w:gridCol w:w="2616"/>
        <w:gridCol w:w="2616"/>
        <w:gridCol w:w="2616"/>
      </w:tblGrid>
      <w:tr>
        <w:tc>
          <w:tcPr>
            <w:tcW w:type="dxa" w:w="2616"/>
            <w:tcBorders>
              <w:top w:val="single" w:color="0F766E" w:sz="24"/>
              <w:left w:val="single" w:color="FFFFFF" w:sz="24"/>
              <w:bottom w:val="single" w:color="FFFFFF" w:sz="100"/>
              <w:right w:val="single" w:color="FFFFFF" w:sz="24"/>
            </w:tcBorders>
            <w:shd w:fill="F1F5F9" w:color="auto" w:val="clear"/>
            <w:tcMar>
              <w:top w:type="dxa" w:w="90"/>
              <w:left w:type="dxa" w:w="160"/>
              <w:bottom w:type="dxa" w:w="90"/>
              <w:right w:type="dxa" w:w="160"/>
            </w:tcMar>
            <w:vAlign w:val="center"/>
          </w:tcPr>
          <w:p>
            <w:pPr>
              <w:keepLines/>
              <w:spacing w:after="0" w:before="0" w:line="240"/>
              <w:jc w:val="center"/>
            </w:pPr>
            <w:r>
              <w:rPr>
                <w:rFonts w:ascii="Calibri" w:cs="Calibri" w:eastAsia="Calibri" w:hAnsi="Calibri"/>
                <w:b/>
                <w:bCs/>
                <w:color w:val="0F766E"/>
                <w:sz w:val="36"/>
                <w:szCs w:val="36"/>
              </w:rPr>
              <w:t xml:space="preserve">0.90</w:t>
            </w:r>
          </w:p>
          <w:p>
            <w:pPr>
              <w:keepLines/>
              <w:spacing w:after="0" w:before="0" w:line="220"/>
              <w:jc w:val="center"/>
            </w:pPr>
            <w:r>
              <w:rPr>
                <w:rFonts w:ascii="Calibri" w:cs="Calibri" w:eastAsia="Calibri" w:hAnsi="Calibri"/>
                <w:b/>
                <w:bCs/>
                <w:color w:val="64748B"/>
                <w:sz w:val="16"/>
                <w:szCs w:val="16"/>
              </w:rPr>
              <w:t xml:space="preserve">Decline threshold</w:t>
            </w:r>
          </w:p>
        </w:tc>
        <w:tc>
          <w:tcPr>
            <w:tcW w:type="dxa" w:w="2616"/>
            <w:tcBorders>
              <w:top w:val="single" w:color="2563EB" w:sz="24"/>
              <w:left w:val="single" w:color="FFFFFF" w:sz="24"/>
              <w:bottom w:val="single" w:color="FFFFFF" w:sz="100"/>
              <w:right w:val="single" w:color="FFFFFF" w:sz="24"/>
            </w:tcBorders>
            <w:shd w:fill="F1F5F9" w:color="auto" w:val="clear"/>
            <w:tcMar>
              <w:top w:type="dxa" w:w="90"/>
              <w:left w:type="dxa" w:w="160"/>
              <w:bottom w:type="dxa" w:w="90"/>
              <w:right w:type="dxa" w:w="160"/>
            </w:tcMar>
            <w:vAlign w:val="center"/>
          </w:tcPr>
          <w:p>
            <w:pPr>
              <w:keepLines/>
              <w:spacing w:after="0" w:before="0" w:line="240"/>
              <w:jc w:val="center"/>
            </w:pPr>
            <w:r>
              <w:rPr>
                <w:rFonts w:ascii="Calibri" w:cs="Calibri" w:eastAsia="Calibri" w:hAnsi="Calibri"/>
                <w:b/>
                <w:bCs/>
                <w:color w:val="2563EB"/>
                <w:sz w:val="36"/>
                <w:szCs w:val="36"/>
              </w:rPr>
              <w:t xml:space="preserve">456</w:t>
            </w:r>
          </w:p>
          <w:p>
            <w:pPr>
              <w:keepLines/>
              <w:spacing w:after="0" w:before="0" w:line="220"/>
              <w:jc w:val="center"/>
            </w:pPr>
            <w:r>
              <w:rPr>
                <w:rFonts w:ascii="Calibri" w:cs="Calibri" w:eastAsia="Calibri" w:hAnsi="Calibri"/>
                <w:b/>
                <w:bCs/>
                <w:color w:val="64748B"/>
                <w:sz w:val="16"/>
                <w:szCs w:val="16"/>
              </w:rPr>
              <w:t xml:space="preserve">Auto-declines / month</w:t>
            </w:r>
          </w:p>
        </w:tc>
        <w:tc>
          <w:tcPr>
            <w:tcW w:type="dxa" w:w="2616"/>
            <w:tcBorders>
              <w:top w:val="single" w:color="7C3AED" w:sz="24"/>
              <w:left w:val="single" w:color="FFFFFF" w:sz="24"/>
              <w:bottom w:val="single" w:color="FFFFFF" w:sz="100"/>
              <w:right w:val="single" w:color="FFFFFF" w:sz="24"/>
            </w:tcBorders>
            <w:shd w:fill="F1F5F9" w:color="auto" w:val="clear"/>
            <w:tcMar>
              <w:top w:type="dxa" w:w="90"/>
              <w:left w:type="dxa" w:w="160"/>
              <w:bottom w:type="dxa" w:w="90"/>
              <w:right w:type="dxa" w:w="160"/>
            </w:tcMar>
            <w:vAlign w:val="center"/>
          </w:tcPr>
          <w:p>
            <w:pPr>
              <w:keepLines/>
              <w:spacing w:after="0" w:before="0" w:line="240"/>
              <w:jc w:val="center"/>
            </w:pPr>
            <w:r>
              <w:rPr>
                <w:rFonts w:ascii="Calibri" w:cs="Calibri" w:eastAsia="Calibri" w:hAnsi="Calibri"/>
                <w:b/>
                <w:bCs/>
                <w:color w:val="7C3AED"/>
                <w:sz w:val="36"/>
                <w:szCs w:val="36"/>
              </w:rPr>
              <w:t xml:space="preserve">190.1</w:t>
            </w:r>
          </w:p>
          <w:p>
            <w:pPr>
              <w:keepLines/>
              <w:spacing w:after="0" w:before="0" w:line="220"/>
              <w:jc w:val="center"/>
            </w:pPr>
            <w:r>
              <w:rPr>
                <w:rFonts w:ascii="Calibri" w:cs="Calibri" w:eastAsia="Calibri" w:hAnsi="Calibri"/>
                <w:b/>
                <w:bCs/>
                <w:color w:val="64748B"/>
                <w:sz w:val="16"/>
                <w:szCs w:val="16"/>
              </w:rPr>
              <w:t xml:space="preserve">Analyst hours saved</w:t>
            </w:r>
          </w:p>
        </w:tc>
        <w:tc>
          <w:tcPr>
            <w:tcW w:type="dxa" w:w="2616"/>
            <w:tcBorders>
              <w:top w:val="single" w:color="E76F51" w:sz="24"/>
              <w:left w:val="single" w:color="FFFFFF" w:sz="24"/>
              <w:bottom w:val="single" w:color="FFFFFF" w:sz="100"/>
              <w:right w:val="single" w:color="FFFFFF" w:sz="24"/>
            </w:tcBorders>
            <w:shd w:fill="F1F5F9" w:color="auto" w:val="clear"/>
            <w:tcMar>
              <w:top w:type="dxa" w:w="90"/>
              <w:left w:type="dxa" w:w="160"/>
              <w:bottom w:type="dxa" w:w="90"/>
              <w:right w:type="dxa" w:w="160"/>
            </w:tcMar>
            <w:vAlign w:val="center"/>
          </w:tcPr>
          <w:p>
            <w:pPr>
              <w:keepLines/>
              <w:spacing w:after="0" w:before="0" w:line="240"/>
              <w:jc w:val="center"/>
            </w:pPr>
            <w:r>
              <w:rPr>
                <w:rFonts w:ascii="Calibri" w:cs="Calibri" w:eastAsia="Calibri" w:hAnsi="Calibri"/>
                <w:b/>
                <w:bCs/>
                <w:color w:val="E76F51"/>
                <w:sz w:val="36"/>
                <w:szCs w:val="36"/>
              </w:rPr>
              <w:t xml:space="preserve">4.7%</w:t>
            </w:r>
          </w:p>
          <w:p>
            <w:pPr>
              <w:keepLines/>
              <w:spacing w:after="0" w:before="0" w:line="220"/>
              <w:jc w:val="center"/>
            </w:pPr>
            <w:r>
              <w:rPr>
                <w:rFonts w:ascii="Calibri" w:cs="Calibri" w:eastAsia="Calibri" w:hAnsi="Calibri"/>
                <w:b/>
                <w:bCs/>
                <w:color w:val="64748B"/>
                <w:sz w:val="16"/>
                <w:szCs w:val="16"/>
              </w:rPr>
              <w:t xml:space="preserve">Wrongly declined</w:t>
            </w:r>
          </w:p>
        </w:tc>
      </w:tr>
    </w:tbl>
    <w:p>
      <w:pPr>
        <w:keepNext/>
        <w:pBdr>
          <w:bottom w:val="single" w:color="14213D" w:sz="8" w:space="2"/>
        </w:pBdr>
        <w:spacing w:after="90" w:before="230"/>
      </w:pPr>
      <w:r>
        <w:rPr>
          <w:rFonts w:ascii="Calibri" w:cs="Calibri" w:eastAsia="Calibri" w:hAnsi="Calibri"/>
          <w:b/>
          <w:bCs/>
          <w:color w:val="14213D"/>
          <w:sz w:val="21"/>
          <w:szCs w:val="21"/>
        </w:rPr>
        <w:t xml:space="preserve">OBJECTIVE</w:t>
      </w:r>
    </w:p>
    <w:p>
      <w:pPr>
        <w:keepLines/>
        <w:spacing w:after="0" w:before="0" w:line="280"/>
      </w:pPr>
      <w:r>
        <w:rPr>
          <w:rFonts w:ascii="Calibri" w:cs="Calibri" w:eastAsia="Calibri" w:hAnsi="Calibri"/>
          <w:color w:val="1F2937"/>
          <w:sz w:val="22"/>
          <w:szCs w:val="22"/>
        </w:rPr>
        <w:t xml:space="preserve">This project tests whether a logistic-regression pre-screener, trained on historical credit-team decisions, can identify potentially declinable applications and reduce manual review, while keeping wrongly declined applicants (those historically approved) within the bank’s 5% limit.</w:t>
      </w:r>
    </w:p>
    <w:p>
      <w:pPr>
        <w:keepNext/>
        <w:pBdr>
          <w:bottom w:val="single" w:color="14213D" w:sz="8" w:space="2"/>
        </w:pBdr>
        <w:spacing w:after="90" w:before="230"/>
      </w:pPr>
      <w:r>
        <w:rPr>
          <w:rFonts w:ascii="Calibri" w:cs="Calibri" w:eastAsia="Calibri" w:hAnsi="Calibri"/>
          <w:b/>
          <w:bCs/>
          <w:color w:val="14213D"/>
          <w:sz w:val="21"/>
          <w:szCs w:val="21"/>
        </w:rPr>
        <w:t xml:space="preserve">THREE KEY FINDINGS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720"/>
        <w:gridCol w:w="9746"/>
      </w:tblGrid>
      <w:tr>
        <w:tc>
          <w:tcPr>
            <w:tcW w:type="dxa" w:w="720"/>
            <w:tcBorders>
              <w:top w:val="none" w:color="FFFFFF" w:sz="0"/>
              <w:left w:val="none" w:color="FFFFFF" w:sz="0"/>
              <w:bottom w:val="single" w:color="FFFFFF" w:sz="60"/>
              <w:right w:val="none" w:color="FFFFFF" w:sz="0"/>
            </w:tcBorders>
            <w:shd w:fill="0F766E" w:color="auto" w:val="clear"/>
            <w:tcMar>
              <w:top w:type="dxa" w:w="80"/>
              <w:left w:type="dxa" w:w="160"/>
              <w:bottom w:type="dxa" w:w="80"/>
              <w:right w:type="dxa" w:w="160"/>
            </w:tcMar>
            <w:vAlign w:val="center"/>
          </w:tcPr>
          <w:p>
            <w:pPr>
              <w:keepLines/>
              <w:spacing w:after="0" w:before="0" w:line="240"/>
              <w:jc w:val="center"/>
            </w:pPr>
            <w:r>
              <w:rPr>
                <w:rFonts w:ascii="Calibri" w:cs="Calibri" w:eastAsia="Calibri" w:hAnsi="Calibri"/>
                <w:b/>
                <w:bCs/>
                <w:color w:val="FFFFFF"/>
                <w:sz w:val="34"/>
                <w:szCs w:val="34"/>
              </w:rPr>
              <w:t xml:space="preserve">1</w:t>
            </w:r>
          </w:p>
        </w:tc>
        <w:tc>
          <w:tcPr>
            <w:tcW w:type="dxa" w:w="9746"/>
            <w:tcBorders>
              <w:top w:val="none" w:color="FFFFFF" w:sz="0"/>
              <w:left w:val="none" w:color="FFFFFF" w:sz="0"/>
              <w:bottom w:val="single" w:color="FFFFFF" w:sz="60"/>
              <w:right w:val="none" w:color="FFFFFF" w:sz="0"/>
            </w:tcBorders>
            <w:shd w:fill="E6F4F1" w:color="auto" w:val="clear"/>
            <w:tcMar>
              <w:top w:type="dxa" w:w="80"/>
              <w:left w:type="dxa" w:w="160"/>
              <w:bottom w:type="dxa" w:w="80"/>
              <w:right w:type="dxa" w:w="160"/>
            </w:tcMar>
            <w:vAlign w:val="center"/>
          </w:tcPr>
          <w:p>
            <w:pPr>
              <w:keepLines/>
              <w:spacing w:after="0" w:before="0" w:line="276"/>
            </w:pPr>
            <w:r>
              <w:rPr>
                <w:rFonts w:ascii="Calibri" w:cs="Calibri" w:eastAsia="Calibri" w:hAnsi="Calibri"/>
                <w:b/>
                <w:bCs/>
                <w:color w:val="0F766E"/>
                <w:sz w:val="22"/>
                <w:szCs w:val="22"/>
              </w:rPr>
              <w:t xml:space="preserve">Finding 1 – Approval Patterns: </w:t>
            </w:r>
            <w:r>
              <w:rPr>
                <w:rFonts w:ascii="Calibri" w:cs="Calibri" w:eastAsia="Calibri" w:hAnsi="Calibri"/>
                <w:color w:val="1F2937"/>
                <w:sz w:val="22"/>
                <w:szCs w:val="22"/>
              </w:rPr>
              <w:t xml:space="preserve">Historical approval rises sharply with credit score: 2.0% below 600 and 3.2% at 600–649, against 85.2% at 800+. The 1,039 applicants with no score were approved 53.9% of the time. By employment type, Salaried applicants had the highest approval rate (58.4%) and Gig / Contract the lowest (34.9%).</w:t>
            </w:r>
          </w:p>
        </w:tc>
      </w:tr>
      <w:tr>
        <w:tc>
          <w:tcPr>
            <w:tcW w:type="dxa" w:w="720"/>
            <w:tcBorders>
              <w:top w:val="none" w:color="FFFFFF" w:sz="0"/>
              <w:left w:val="none" w:color="FFFFFF" w:sz="0"/>
              <w:bottom w:val="single" w:color="FFFFFF" w:sz="60"/>
              <w:right w:val="none" w:color="FFFFFF" w:sz="0"/>
            </w:tcBorders>
            <w:shd w:fill="2563EB" w:color="auto" w:val="clear"/>
            <w:tcMar>
              <w:top w:type="dxa" w:w="80"/>
              <w:left w:type="dxa" w:w="160"/>
              <w:bottom w:type="dxa" w:w="80"/>
              <w:right w:type="dxa" w:w="160"/>
            </w:tcMar>
            <w:vAlign w:val="center"/>
          </w:tcPr>
          <w:p>
            <w:pPr>
              <w:keepLines/>
              <w:spacing w:after="0" w:before="0" w:line="240"/>
              <w:jc w:val="center"/>
            </w:pPr>
            <w:r>
              <w:rPr>
                <w:rFonts w:ascii="Calibri" w:cs="Calibri" w:eastAsia="Calibri" w:hAnsi="Calibri"/>
                <w:b/>
                <w:bCs/>
                <w:color w:val="FFFFFF"/>
                <w:sz w:val="34"/>
                <w:szCs w:val="34"/>
              </w:rPr>
              <w:t xml:space="preserve">2</w:t>
            </w:r>
          </w:p>
        </w:tc>
        <w:tc>
          <w:tcPr>
            <w:tcW w:type="dxa" w:w="9746"/>
            <w:tcBorders>
              <w:top w:val="none" w:color="FFFFFF" w:sz="0"/>
              <w:left w:val="none" w:color="FFFFFF" w:sz="0"/>
              <w:bottom w:val="single" w:color="FFFFFF" w:sz="60"/>
              <w:right w:val="none" w:color="FFFFFF" w:sz="0"/>
            </w:tcBorders>
            <w:shd w:fill="E8EFFD" w:color="auto" w:val="clear"/>
            <w:tcMar>
              <w:top w:type="dxa" w:w="80"/>
              <w:left w:type="dxa" w:w="160"/>
              <w:bottom w:type="dxa" w:w="80"/>
              <w:right w:type="dxa" w:w="160"/>
            </w:tcMar>
            <w:vAlign w:val="center"/>
          </w:tcPr>
          <w:p>
            <w:pPr>
              <w:keepLines/>
              <w:spacing w:after="0" w:before="0" w:line="276"/>
            </w:pPr>
            <w:r>
              <w:rPr>
                <w:rFonts w:ascii="Calibri" w:cs="Calibri" w:eastAsia="Calibri" w:hAnsi="Calibri"/>
                <w:b/>
                <w:bCs/>
                <w:color w:val="2563EB"/>
                <w:sz w:val="22"/>
                <w:szCs w:val="22"/>
              </w:rPr>
              <w:t xml:space="preserve">Finding 2 – Affordability: </w:t>
            </w:r>
            <w:r>
              <w:rPr>
                <w:rFonts w:ascii="Calibri" w:cs="Calibri" w:eastAsia="Calibri" w:hAnsi="Calibri"/>
                <w:color w:val="1F2937"/>
                <w:sz w:val="22"/>
                <w:szCs w:val="22"/>
              </w:rPr>
              <w:t xml:space="preserve">Median FOIR was 31.7% and median loan-to-income was 0.52. Approval fell steadily as FOIR rose: 65.5% below 30%, 32.4% at 50–55% and 15.6% above 55%.</w:t>
            </w:r>
          </w:p>
        </w:tc>
      </w:tr>
      <w:tr>
        <w:tc>
          <w:tcPr>
            <w:tcW w:type="dxa" w:w="720"/>
            <w:tcBorders>
              <w:top w:val="none" w:color="FFFFFF" w:sz="0"/>
              <w:left w:val="none" w:color="FFFFFF" w:sz="0"/>
              <w:bottom w:val="single" w:color="FFFFFF" w:sz="60"/>
              <w:right w:val="none" w:color="FFFFFF" w:sz="0"/>
            </w:tcBorders>
            <w:shd w:fill="7C3AED" w:color="auto" w:val="clear"/>
            <w:tcMar>
              <w:top w:type="dxa" w:w="80"/>
              <w:left w:type="dxa" w:w="160"/>
              <w:bottom w:type="dxa" w:w="80"/>
              <w:right w:type="dxa" w:w="160"/>
            </w:tcMar>
            <w:vAlign w:val="center"/>
          </w:tcPr>
          <w:p>
            <w:pPr>
              <w:keepLines/>
              <w:spacing w:after="0" w:before="0" w:line="240"/>
              <w:jc w:val="center"/>
            </w:pPr>
            <w:r>
              <w:rPr>
                <w:rFonts w:ascii="Calibri" w:cs="Calibri" w:eastAsia="Calibri" w:hAnsi="Calibri"/>
                <w:b/>
                <w:bCs/>
                <w:color w:val="FFFFFF"/>
                <w:sz w:val="34"/>
                <w:szCs w:val="34"/>
              </w:rPr>
              <w:t xml:space="preserve">3</w:t>
            </w:r>
          </w:p>
        </w:tc>
        <w:tc>
          <w:tcPr>
            <w:tcW w:type="dxa" w:w="9746"/>
            <w:tcBorders>
              <w:top w:val="none" w:color="FFFFFF" w:sz="0"/>
              <w:left w:val="none" w:color="FFFFFF" w:sz="0"/>
              <w:bottom w:val="single" w:color="FFFFFF" w:sz="60"/>
              <w:right w:val="none" w:color="FFFFFF" w:sz="0"/>
            </w:tcBorders>
            <w:shd w:fill="F1EBFD" w:color="auto" w:val="clear"/>
            <w:tcMar>
              <w:top w:type="dxa" w:w="80"/>
              <w:left w:type="dxa" w:w="160"/>
              <w:bottom w:type="dxa" w:w="80"/>
              <w:right w:type="dxa" w:w="160"/>
            </w:tcMar>
            <w:vAlign w:val="center"/>
          </w:tcPr>
          <w:p>
            <w:pPr>
              <w:keepLines/>
              <w:spacing w:after="0" w:before="0" w:line="276"/>
            </w:pPr>
            <w:r>
              <w:rPr>
                <w:rFonts w:ascii="Calibri" w:cs="Calibri" w:eastAsia="Calibri" w:hAnsi="Calibri"/>
                <w:b/>
                <w:bCs/>
                <w:color w:val="7C3AED"/>
                <w:sz w:val="22"/>
                <w:szCs w:val="22"/>
              </w:rPr>
              <w:t xml:space="preserve">Finding 3 – Model and Threshold: </w:t>
            </w:r>
            <w:r>
              <w:rPr>
                <w:rFonts w:ascii="Calibri" w:cs="Calibri" w:eastAsia="Calibri" w:hAnsi="Calibri"/>
                <w:color w:val="1F2937"/>
                <w:sz w:val="22"/>
                <w:szCs w:val="22"/>
              </w:rPr>
              <w:t xml:space="preserve">At the default 0.50 cut-off, test accuracy was 79.1%, declined-class precision 79.1%, recall 75.5% and ROC-AUC 0.867. The 0.90 threshold was the lowest tested value meeting the 5% rule: it auto-declines 15.2% of test applications, and 4.7% of those auto-declines were historically approved.</w:t>
            </w:r>
          </w:p>
        </w:tc>
      </w:tr>
    </w:tbl>
    <w:p>
      <w:pPr>
        <w:keepNext/>
        <w:pBdr>
          <w:bottom w:val="single" w:color="0F766E" w:sz="8" w:space="2"/>
        </w:pBdr>
        <w:spacing w:after="90" w:before="230"/>
      </w:pPr>
      <w:r>
        <w:rPr>
          <w:rFonts w:ascii="Calibri" w:cs="Calibri" w:eastAsia="Calibri" w:hAnsi="Calibri"/>
          <w:b/>
          <w:bCs/>
          <w:color w:val="0F766E"/>
          <w:sz w:val="21"/>
          <w:szCs w:val="21"/>
        </w:rPr>
        <w:t xml:space="preserve">RECOMMENDATION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none" w:color="FFFFFF" w:sz="0"/>
              <w:left w:val="single" w:color="0F766E" w:sz="36"/>
              <w:bottom w:val="none" w:color="FFFFFF" w:sz="0"/>
              <w:right w:val="none" w:color="FFFFFF" w:sz="0"/>
            </w:tcBorders>
            <w:shd w:fill="E6F4F1" w:color="auto" w:val="clear"/>
            <w:tcMar>
              <w:top w:type="dxa" w:w="150"/>
              <w:left w:type="dxa" w:w="200"/>
              <w:bottom w:type="dxa" w:w="150"/>
              <w:right w:type="dxa" w:w="160"/>
            </w:tcMar>
            <w:vAlign w:val="center"/>
          </w:tcPr>
          <w:p>
            <w:pPr>
              <w:keepLines/>
              <w:spacing w:after="0" w:before="0" w:line="276"/>
            </w:pPr>
            <w:r>
              <w:rPr>
                <w:rFonts w:ascii="Calibri" w:cs="Calibri" w:eastAsia="Calibri" w:hAnsi="Calibri"/>
                <w:b/>
                <w:bCs/>
                <w:color w:val="0F766E"/>
                <w:sz w:val="22"/>
                <w:szCs w:val="22"/>
              </w:rPr>
              <w:t xml:space="preserve">Use a decline-probability threshold of 0.90. </w:t>
            </w:r>
            <w:r>
              <w:rPr>
                <w:rFonts w:ascii="Calibri" w:cs="Calibri" w:eastAsia="Calibri" w:hAnsi="Calibri"/>
                <w:color w:val="1F2937"/>
                <w:sz w:val="22"/>
                <w:szCs w:val="22"/>
              </w:rPr>
              <w:t xml:space="preserve">This would auto-decline about 456 of 3,000 monthly applications and free an estimated 190.1 analyst hours per month (25 minutes per review). About 21 of these may have been historically approved. New-to-credit applicants (blank credit score) should receive human review because they have limited credit history and the model may be less reliable for this group.</w:t>
            </w:r>
          </w:p>
        </w:tc>
      </w:tr>
    </w:tbl>
    <w:p>
      <w:pPr>
        <w:keepNext/>
        <w:pBdr>
          <w:bottom w:val="single" w:color="E76F51" w:sz="8" w:space="2"/>
        </w:pBdr>
        <w:spacing w:after="90" w:before="230"/>
      </w:pPr>
      <w:r>
        <w:rPr>
          <w:rFonts w:ascii="Calibri" w:cs="Calibri" w:eastAsia="Calibri" w:hAnsi="Calibri"/>
          <w:b/>
          <w:bCs/>
          <w:color w:val="E76F51"/>
          <w:sz w:val="21"/>
          <w:szCs w:val="21"/>
        </w:rPr>
        <w:t xml:space="preserve">LIMITATION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none" w:color="FFFFFF" w:sz="0"/>
              <w:left w:val="single" w:color="E76F51" w:sz="36"/>
              <w:bottom w:val="none" w:color="FFFFFF" w:sz="0"/>
              <w:right w:val="none" w:color="FFFFFF" w:sz="0"/>
            </w:tcBorders>
            <w:shd w:fill="FDEDE8" w:color="auto" w:val="clear"/>
            <w:tcMar>
              <w:top w:type="dxa" w:w="150"/>
              <w:left w:type="dxa" w:w="200"/>
              <w:bottom w:type="dxa" w:w="150"/>
              <w:right w:type="dxa" w:w="160"/>
            </w:tcMar>
            <w:vAlign w:val="center"/>
          </w:tcPr>
          <w:p>
            <w:pPr>
              <w:keepLines/>
              <w:spacing w:after="0" w:before="0" w:line="276"/>
            </w:pPr>
            <w:r>
              <w:rPr>
                <w:rFonts w:ascii="Calibri" w:cs="Calibri" w:eastAsia="Calibri" w:hAnsi="Calibri"/>
                <w:color w:val="1F2937"/>
                <w:sz w:val="22"/>
                <w:szCs w:val="22"/>
              </w:rPr>
              <w:t xml:space="preserve">The model predicts historical credit-team decisions, not actual loan repayment or default. Historical decisions are not proof of creditworthiness, and predictions do not guarantee future outcomes. The model should not be used alone for real lending decisions.</w:t>
            </w:r>
          </w:p>
        </w:tc>
      </w:tr>
    </w:tbl>
    <w:sectPr>
      <w:pgSz w:w="11906" w:h="16838" w:orient="portrait"/>
      <w:pgMar w:top="600" w:right="720" w:bottom="5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2026-10-27T12:42:49.956Z</dcterms:created>
  <dcterms:modified xsi:type="dcterms:W3CDTF">2026-10-27T12:42:49.963Z</dcterms:modified>
</cp:coreProperties>
</file>

<file path=docProps/custom.xml><?xml version="1.0" encoding="utf-8"?>
<Properties xmlns="http://schemas.openxmlformats.org/officeDocument/2006/custom-properties" xmlns:vt="http://schemas.openxmlformats.org/officeDocument/2006/docPropsVTypes"/>
</file>